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AFA3B" w14:textId="77777777" w:rsidR="00047FCD" w:rsidRDefault="00047FCD" w:rsidP="00047FCD">
      <w:pPr>
        <w:rPr>
          <w:b/>
          <w:bCs/>
        </w:rPr>
      </w:pPr>
      <w:r w:rsidRPr="00047FCD">
        <w:rPr>
          <w:b/>
          <w:bCs/>
        </w:rPr>
        <w:t>Introduction</w:t>
      </w:r>
    </w:p>
    <w:p w14:paraId="10CCEB71" w14:textId="04FE4D9F" w:rsidR="00EF631D" w:rsidRPr="00EF631D" w:rsidRDefault="00EF631D" w:rsidP="00047FCD">
      <w:pPr>
        <w:rPr>
          <w:b/>
          <w:bCs/>
          <w:color w:val="EE0000"/>
        </w:rPr>
      </w:pPr>
      <w:r w:rsidRPr="4254D75E">
        <w:rPr>
          <w:b/>
          <w:bCs/>
          <w:color w:val="EE0000"/>
        </w:rPr>
        <w:t>INCLUDE VIDEO – HOW TO USE EMPLOYER GUIDE - ANIMATION</w:t>
      </w:r>
    </w:p>
    <w:p w14:paraId="08921D78" w14:textId="270EAA72" w:rsidR="4254D75E" w:rsidRDefault="4254D75E" w:rsidP="4254D75E">
      <w:pPr>
        <w:rPr>
          <w:b/>
          <w:bCs/>
        </w:rPr>
      </w:pPr>
    </w:p>
    <w:p w14:paraId="0643B09C" w14:textId="4ED6A1B5" w:rsidR="00047FCD" w:rsidRPr="00047FCD" w:rsidRDefault="00047FCD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Purpose of the Guide</w:t>
      </w:r>
      <w:r w:rsidR="595CD508" w:rsidRPr="6A3CB234">
        <w:rPr>
          <w:b/>
          <w:bCs/>
          <w:sz w:val="28"/>
          <w:szCs w:val="28"/>
        </w:rPr>
        <w:t>:</w:t>
      </w:r>
    </w:p>
    <w:p w14:paraId="765DDF20" w14:textId="25683E74" w:rsidR="00047FCD" w:rsidRPr="00047FCD" w:rsidRDefault="00047FCD" w:rsidP="00047FCD">
      <w:r>
        <w:t xml:space="preserve">This guide is for employers, supervisors, and business owners in the furnishing and cabinet making industries who </w:t>
      </w:r>
      <w:r w:rsidR="12F5B233">
        <w:t>will employ</w:t>
      </w:r>
      <w:r>
        <w:t xml:space="preserve"> apprentices and want to get the best results for </w:t>
      </w:r>
      <w:r w:rsidR="2D7AA6A9">
        <w:t xml:space="preserve">not only </w:t>
      </w:r>
      <w:r>
        <w:t>their business</w:t>
      </w:r>
      <w:r w:rsidR="6A5193B0">
        <w:t xml:space="preserve"> but</w:t>
      </w:r>
      <w:r>
        <w:t xml:space="preserve"> their team, and the next generation of tradespeople within the industry.</w:t>
      </w:r>
    </w:p>
    <w:p w14:paraId="0A45B3C8" w14:textId="58C64640" w:rsidR="00047FCD" w:rsidRPr="00047FCD" w:rsidRDefault="21ECF7D7" w:rsidP="00047FCD">
      <w:r>
        <w:t xml:space="preserve">The guide will </w:t>
      </w:r>
      <w:r w:rsidR="00047FCD">
        <w:t>provide straightforward, practical information</w:t>
      </w:r>
      <w:r w:rsidR="0F04886A">
        <w:t xml:space="preserve"> on</w:t>
      </w:r>
      <w:r w:rsidR="00047FCD">
        <w:t xml:space="preserve"> how to:</w:t>
      </w:r>
    </w:p>
    <w:p w14:paraId="2F0EBB86" w14:textId="7CE2814A" w:rsidR="00047FCD" w:rsidRPr="00047FCD" w:rsidRDefault="00047FCD" w:rsidP="00EB7755">
      <w:pPr>
        <w:pStyle w:val="ListParagraph"/>
        <w:numPr>
          <w:ilvl w:val="0"/>
          <w:numId w:val="23"/>
        </w:numPr>
      </w:pPr>
      <w:r>
        <w:t xml:space="preserve">Recruit and support apprentices </w:t>
      </w:r>
    </w:p>
    <w:p w14:paraId="633CE289" w14:textId="77777777" w:rsidR="00047FCD" w:rsidRPr="00047FCD" w:rsidRDefault="00047FCD" w:rsidP="00FF6B18">
      <w:pPr>
        <w:pStyle w:val="ListParagraph"/>
        <w:numPr>
          <w:ilvl w:val="0"/>
          <w:numId w:val="23"/>
        </w:numPr>
      </w:pPr>
      <w:r w:rsidRPr="00047FCD">
        <w:t>Build a positive, safe, and inclusive workplace</w:t>
      </w:r>
    </w:p>
    <w:p w14:paraId="31CBA053" w14:textId="545E7CF6" w:rsidR="00047FCD" w:rsidRPr="00047FCD" w:rsidRDefault="00047FCD" w:rsidP="00153D05">
      <w:pPr>
        <w:pStyle w:val="ListParagraph"/>
        <w:numPr>
          <w:ilvl w:val="0"/>
          <w:numId w:val="23"/>
        </w:numPr>
      </w:pPr>
      <w:r>
        <w:t xml:space="preserve">Strengthen </w:t>
      </w:r>
      <w:r w:rsidR="30E3283A">
        <w:t xml:space="preserve">the </w:t>
      </w:r>
      <w:r>
        <w:t>supervision, communication, and mentoring</w:t>
      </w:r>
      <w:r w:rsidR="7AA6AD60">
        <w:t xml:space="preserve"> for apprentices</w:t>
      </w:r>
    </w:p>
    <w:p w14:paraId="6BD261F9" w14:textId="1FC21691" w:rsidR="00047FCD" w:rsidRPr="00047FCD" w:rsidRDefault="00047FCD" w:rsidP="00B94AD4">
      <w:pPr>
        <w:pStyle w:val="ListParagraph"/>
        <w:numPr>
          <w:ilvl w:val="0"/>
          <w:numId w:val="23"/>
        </w:numPr>
      </w:pPr>
      <w:r>
        <w:t xml:space="preserve">Work effectively with RTOs and </w:t>
      </w:r>
      <w:r w:rsidR="340AC721">
        <w:t>other</w:t>
      </w:r>
      <w:r>
        <w:t xml:space="preserve"> training </w:t>
      </w:r>
      <w:r w:rsidR="0766CB50">
        <w:t>organisations</w:t>
      </w:r>
    </w:p>
    <w:p w14:paraId="010574CA" w14:textId="5CDEEFAC" w:rsidR="00047FCD" w:rsidRPr="00047FCD" w:rsidRDefault="00047FCD" w:rsidP="0039424C">
      <w:pPr>
        <w:pStyle w:val="ListParagraph"/>
        <w:numPr>
          <w:ilvl w:val="0"/>
          <w:numId w:val="23"/>
        </w:numPr>
      </w:pPr>
      <w:r>
        <w:t>Keep apprentices engaged and motivated through to completion</w:t>
      </w:r>
      <w:r w:rsidR="57C7E70B">
        <w:t xml:space="preserve"> of their training</w:t>
      </w:r>
    </w:p>
    <w:p w14:paraId="495E0914" w14:textId="72D302D1" w:rsidR="00047FCD" w:rsidRPr="00047FCD" w:rsidRDefault="00047FCD" w:rsidP="00047FCD">
      <w:r>
        <w:t xml:space="preserve">The aim </w:t>
      </w:r>
      <w:r w:rsidR="345A7164">
        <w:t xml:space="preserve">of this guide </w:t>
      </w:r>
      <w:r>
        <w:t>is to make it easier for employers to understand what</w:t>
      </w:r>
      <w:r w:rsidR="2E2DA5D0">
        <w:t xml:space="preserve"> is</w:t>
      </w:r>
      <w:r>
        <w:t xml:space="preserve"> expected</w:t>
      </w:r>
      <w:r w:rsidR="3659536A">
        <w:t xml:space="preserve"> of them</w:t>
      </w:r>
      <w:r>
        <w:t xml:space="preserve">, what good </w:t>
      </w:r>
      <w:r w:rsidR="1DA1F70B">
        <w:t xml:space="preserve">work </w:t>
      </w:r>
      <w:r>
        <w:t xml:space="preserve">practice looks like, and how to </w:t>
      </w:r>
      <w:r w:rsidR="301AB757">
        <w:t>build a long</w:t>
      </w:r>
      <w:r>
        <w:t>-lasting team.</w:t>
      </w:r>
    </w:p>
    <w:p w14:paraId="4750F7A6" w14:textId="58C0BE3F" w:rsidR="00047FCD" w:rsidRPr="00047FCD" w:rsidRDefault="00047FCD" w:rsidP="00047FCD"/>
    <w:p w14:paraId="08396AA8" w14:textId="199940C9" w:rsidR="00047FCD" w:rsidRPr="00047FCD" w:rsidRDefault="00047FCD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Context</w:t>
      </w:r>
      <w:r w:rsidR="634098C8" w:rsidRPr="6A3CB234">
        <w:rPr>
          <w:b/>
          <w:bCs/>
          <w:sz w:val="28"/>
          <w:szCs w:val="28"/>
        </w:rPr>
        <w:t>:</w:t>
      </w:r>
    </w:p>
    <w:p w14:paraId="1DBD7039" w14:textId="63B3F276" w:rsidR="00047FCD" w:rsidRPr="00047FCD" w:rsidRDefault="00047FCD" w:rsidP="00047FCD">
      <w:r>
        <w:t>Apprenticeships are at the heart of Australia’s furnishing industry.</w:t>
      </w:r>
      <w:r w:rsidR="003E4DA9">
        <w:t xml:space="preserve"> </w:t>
      </w:r>
      <w:r>
        <w:t xml:space="preserve">They provide a direct link between learning and work - allowing </w:t>
      </w:r>
      <w:r w:rsidR="00966AE6">
        <w:t>individuals</w:t>
      </w:r>
      <w:r>
        <w:t xml:space="preserve"> to gain the skills they need while contributing to a productive business.</w:t>
      </w:r>
    </w:p>
    <w:p w14:paraId="1930EBBD" w14:textId="1D795D1F" w:rsidR="00047FCD" w:rsidRPr="00047FCD" w:rsidRDefault="00351819" w:rsidP="00047FCD">
      <w:r>
        <w:t>However,</w:t>
      </w:r>
      <w:r w:rsidR="00047FCD" w:rsidDel="00351819">
        <w:t xml:space="preserve"> </w:t>
      </w:r>
      <w:r w:rsidR="00047FCD">
        <w:t xml:space="preserve">employing an apprentice </w:t>
      </w:r>
      <w:r w:rsidR="76DF1684">
        <w:t xml:space="preserve">does </w:t>
      </w:r>
      <w:r w:rsidR="00047FCD">
        <w:t xml:space="preserve">come with </w:t>
      </w:r>
      <w:r w:rsidR="2F15EF67">
        <w:t xml:space="preserve">many </w:t>
      </w:r>
      <w:r w:rsidR="00047FCD">
        <w:t>challenges.</w:t>
      </w:r>
      <w:r w:rsidR="0063677B">
        <w:t xml:space="preserve"> </w:t>
      </w:r>
      <w:r w:rsidR="00047FCD">
        <w:t>Many employers report that supervision, communication, and balancing productivity with training</w:t>
      </w:r>
      <w:r w:rsidR="4046F46F">
        <w:t xml:space="preserve"> an apprentice</w:t>
      </w:r>
      <w:r w:rsidR="00047FCD">
        <w:t xml:space="preserve"> can be difficult. </w:t>
      </w:r>
    </w:p>
    <w:p w14:paraId="0786EF3C" w14:textId="665256C2" w:rsidR="00047FCD" w:rsidRPr="00047FCD" w:rsidRDefault="00047FCD" w:rsidP="00047FCD">
      <w:r>
        <w:t xml:space="preserve">At the same time, completion rates across trades have </w:t>
      </w:r>
      <w:r w:rsidR="0CD36CAB">
        <w:t xml:space="preserve">unfortunately </w:t>
      </w:r>
      <w:r>
        <w:t xml:space="preserve">been falling, </w:t>
      </w:r>
      <w:r w:rsidR="172840C6">
        <w:t>as many</w:t>
      </w:r>
      <w:r>
        <w:t xml:space="preserve"> apprentices leav</w:t>
      </w:r>
      <w:r w:rsidR="5B3321E0">
        <w:t>e the</w:t>
      </w:r>
      <w:r w:rsidR="0063677B">
        <w:t>ir</w:t>
      </w:r>
      <w:r w:rsidR="5B3321E0">
        <w:t xml:space="preserve"> apprenticeship</w:t>
      </w:r>
      <w:r>
        <w:t xml:space="preserve"> within the first 12 months.</w:t>
      </w:r>
    </w:p>
    <w:p w14:paraId="2D9F37A4" w14:textId="77777777" w:rsidR="00852340" w:rsidRDefault="00047FCD" w:rsidP="00047FCD">
      <w:r>
        <w:t>This guide was created to help employers overcome these challenges by sharing</w:t>
      </w:r>
      <w:r w:rsidR="6F7257F0">
        <w:t xml:space="preserve"> some</w:t>
      </w:r>
      <w:r>
        <w:t xml:space="preserve"> proven</w:t>
      </w:r>
      <w:r w:rsidR="51FB0D14">
        <w:t xml:space="preserve"> </w:t>
      </w:r>
      <w:r>
        <w:t>strategies from across the industry.</w:t>
      </w:r>
    </w:p>
    <w:p w14:paraId="1CD6E388" w14:textId="32441CFA" w:rsidR="00962170" w:rsidRDefault="00047FCD" w:rsidP="6A3CB234">
      <w:r>
        <w:t xml:space="preserve">It </w:t>
      </w:r>
      <w:r w:rsidR="267756BC">
        <w:t xml:space="preserve">can </w:t>
      </w:r>
      <w:r>
        <w:t xml:space="preserve">also </w:t>
      </w:r>
      <w:r w:rsidR="1ABA4A26">
        <w:t>help</w:t>
      </w:r>
      <w:r>
        <w:t xml:space="preserve"> employers understand their role within the </w:t>
      </w:r>
      <w:r w:rsidR="00B4104B">
        <w:t>vocational education and training (</w:t>
      </w:r>
      <w:r>
        <w:t>VET</w:t>
      </w:r>
      <w:r w:rsidR="00B4104B">
        <w:t>)</w:t>
      </w:r>
      <w:r>
        <w:t xml:space="preserve"> s</w:t>
      </w:r>
      <w:r w:rsidR="76115D61">
        <w:t>ector</w:t>
      </w:r>
      <w:r>
        <w:t xml:space="preserve"> and how to work effectively with Registered Training Organisations</w:t>
      </w:r>
      <w:r w:rsidR="00B4104B">
        <w:t xml:space="preserve"> (RTO</w:t>
      </w:r>
      <w:r w:rsidR="00EB3070">
        <w:t>s)</w:t>
      </w:r>
      <w:r>
        <w:t xml:space="preserve">, </w:t>
      </w:r>
      <w:r w:rsidR="3877124E">
        <w:t xml:space="preserve">the </w:t>
      </w:r>
      <w:r>
        <w:t>Apprenticeship Connect Australia Providers, and State Training Authorities.</w:t>
      </w:r>
    </w:p>
    <w:p w14:paraId="253732BC" w14:textId="403F28AA" w:rsidR="7FA09C20" w:rsidRDefault="7FA09C20" w:rsidP="004564B5">
      <w:pPr>
        <w:ind w:left="-284"/>
        <w:rPr>
          <w:b/>
          <w:bCs/>
          <w:sz w:val="28"/>
          <w:szCs w:val="28"/>
        </w:rPr>
      </w:pPr>
    </w:p>
    <w:p w14:paraId="795EB79A" w14:textId="5D212F8E" w:rsidR="008963A7" w:rsidRDefault="008963A7" w:rsidP="004564B5">
      <w:pPr>
        <w:ind w:left="-284"/>
        <w:rPr>
          <w:b/>
          <w:bCs/>
          <w:sz w:val="28"/>
          <w:szCs w:val="28"/>
        </w:rPr>
      </w:pPr>
    </w:p>
    <w:p w14:paraId="3B240C07" w14:textId="11B6C7B6" w:rsidR="4FA485AB" w:rsidRDefault="4FA485AB" w:rsidP="4FA485AB">
      <w:pPr>
        <w:ind w:left="-284"/>
        <w:rPr>
          <w:b/>
          <w:bCs/>
          <w:sz w:val="28"/>
          <w:szCs w:val="28"/>
        </w:rPr>
      </w:pPr>
    </w:p>
    <w:p w14:paraId="107DE010" w14:textId="52F7670C" w:rsidR="4FA485AB" w:rsidRDefault="4FA485AB" w:rsidP="4FA485AB">
      <w:pPr>
        <w:ind w:left="-284"/>
        <w:rPr>
          <w:b/>
          <w:bCs/>
          <w:sz w:val="28"/>
          <w:szCs w:val="28"/>
        </w:rPr>
      </w:pPr>
    </w:p>
    <w:p w14:paraId="18CDFD5C" w14:textId="42519C41" w:rsidR="00047FCD" w:rsidRPr="00962170" w:rsidRDefault="6F92B9C9" w:rsidP="6A3CB234">
      <w:r w:rsidRPr="121C385A">
        <w:rPr>
          <w:b/>
          <w:bCs/>
          <w:sz w:val="28"/>
          <w:szCs w:val="28"/>
        </w:rPr>
        <w:t xml:space="preserve">The Furnishing Industry </w:t>
      </w:r>
      <w:r w:rsidR="2808CBD6" w:rsidRPr="121C385A">
        <w:rPr>
          <w:b/>
          <w:bCs/>
          <w:sz w:val="28"/>
          <w:szCs w:val="28"/>
        </w:rPr>
        <w:t>-</w:t>
      </w:r>
      <w:r w:rsidRPr="121C385A">
        <w:rPr>
          <w:b/>
          <w:bCs/>
          <w:sz w:val="28"/>
          <w:szCs w:val="28"/>
        </w:rPr>
        <w:t xml:space="preserve"> Snapshot</w:t>
      </w:r>
    </w:p>
    <w:p w14:paraId="317D733C" w14:textId="210B724B" w:rsidR="00047FCD" w:rsidRDefault="00047FCD" w:rsidP="00047FCD">
      <w:r>
        <w:t xml:space="preserve">The </w:t>
      </w:r>
      <w:r w:rsidR="759C025F">
        <w:t>F</w:t>
      </w:r>
      <w:r>
        <w:t xml:space="preserve">urnishing </w:t>
      </w:r>
      <w:r w:rsidR="510715BF">
        <w:t>I</w:t>
      </w:r>
      <w:r>
        <w:t>ndustry is a key part of Australia’s manufacturing sector</w:t>
      </w:r>
      <w:r w:rsidR="76F55F86">
        <w:t xml:space="preserve"> </w:t>
      </w:r>
      <w:r>
        <w:t>covering</w:t>
      </w:r>
      <w:r w:rsidR="4A10B6F1">
        <w:t xml:space="preserve"> the following sectors</w:t>
      </w:r>
      <w:r w:rsidR="00437907">
        <w:t>:</w:t>
      </w:r>
    </w:p>
    <w:p w14:paraId="1D109158" w14:textId="5A38476B" w:rsidR="00437907" w:rsidRDefault="00437907" w:rsidP="00551884">
      <w:pPr>
        <w:pStyle w:val="ListParagraph"/>
        <w:numPr>
          <w:ilvl w:val="0"/>
          <w:numId w:val="31"/>
        </w:numPr>
      </w:pPr>
      <w:r>
        <w:t>Cabinet Making</w:t>
      </w:r>
    </w:p>
    <w:p w14:paraId="64295C6F" w14:textId="63BA1704" w:rsidR="00437907" w:rsidRDefault="00437907" w:rsidP="00551884">
      <w:pPr>
        <w:pStyle w:val="ListParagraph"/>
        <w:numPr>
          <w:ilvl w:val="0"/>
          <w:numId w:val="31"/>
        </w:numPr>
      </w:pPr>
      <w:r>
        <w:t>Furniture Making</w:t>
      </w:r>
    </w:p>
    <w:p w14:paraId="4937ACFE" w14:textId="311DF6C3" w:rsidR="00437907" w:rsidRDefault="00437907" w:rsidP="00551884">
      <w:pPr>
        <w:pStyle w:val="ListParagraph"/>
        <w:numPr>
          <w:ilvl w:val="0"/>
          <w:numId w:val="31"/>
        </w:numPr>
      </w:pPr>
      <w:r>
        <w:t>Glass and Glazing</w:t>
      </w:r>
    </w:p>
    <w:p w14:paraId="6F87C8AB" w14:textId="73B78E32" w:rsidR="00437907" w:rsidRDefault="00437907" w:rsidP="00551884">
      <w:pPr>
        <w:pStyle w:val="ListParagraph"/>
        <w:numPr>
          <w:ilvl w:val="0"/>
          <w:numId w:val="31"/>
        </w:numPr>
      </w:pPr>
      <w:r>
        <w:t>Upholstery and Soft Furnishing</w:t>
      </w:r>
    </w:p>
    <w:p w14:paraId="4B8E9ED5" w14:textId="403BBD80" w:rsidR="00437907" w:rsidRDefault="00437907" w:rsidP="00551884">
      <w:pPr>
        <w:pStyle w:val="ListParagraph"/>
        <w:numPr>
          <w:ilvl w:val="0"/>
          <w:numId w:val="31"/>
        </w:numPr>
      </w:pPr>
      <w:r>
        <w:t>Flooring</w:t>
      </w:r>
    </w:p>
    <w:p w14:paraId="44BBD880" w14:textId="3B6E873F" w:rsidR="00437907" w:rsidRDefault="00437907" w:rsidP="00551884">
      <w:pPr>
        <w:pStyle w:val="ListParagraph"/>
        <w:numPr>
          <w:ilvl w:val="0"/>
          <w:numId w:val="31"/>
        </w:numPr>
      </w:pPr>
      <w:r>
        <w:t>Wood Machining</w:t>
      </w:r>
    </w:p>
    <w:p w14:paraId="3F5CDEF9" w14:textId="77777777" w:rsidR="00437907" w:rsidRPr="00047FCD" w:rsidRDefault="00437907" w:rsidP="00437907">
      <w:pPr>
        <w:pStyle w:val="ListParagraph"/>
      </w:pPr>
    </w:p>
    <w:p w14:paraId="2F554098" w14:textId="02CA51CD" w:rsidR="6BE3A2EE" w:rsidRDefault="6BE3A2EE" w:rsidP="6BE3A2EE">
      <w:pPr>
        <w:pStyle w:val="ListParagraph"/>
      </w:pPr>
    </w:p>
    <w:p w14:paraId="467DD6F3" w14:textId="6ABD74B7" w:rsidR="00047FCD" w:rsidRPr="00047FCD" w:rsidRDefault="00047FCD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Industry Overview (2024–</w:t>
      </w:r>
      <w:r w:rsidR="1A0A7CA0" w:rsidRPr="6A3CB234">
        <w:rPr>
          <w:b/>
          <w:bCs/>
          <w:sz w:val="28"/>
          <w:szCs w:val="28"/>
        </w:rPr>
        <w:t>20</w:t>
      </w:r>
      <w:r w:rsidRPr="6A3CB234">
        <w:rPr>
          <w:b/>
          <w:bCs/>
          <w:sz w:val="28"/>
          <w:szCs w:val="28"/>
        </w:rPr>
        <w:t>25):</w:t>
      </w:r>
    </w:p>
    <w:p w14:paraId="54DDAD2F" w14:textId="2E56211E" w:rsidR="00047FCD" w:rsidRPr="004C7A00" w:rsidRDefault="00047FCD" w:rsidP="00621212">
      <w:pPr>
        <w:pStyle w:val="ListParagraph"/>
        <w:numPr>
          <w:ilvl w:val="0"/>
          <w:numId w:val="20"/>
        </w:numPr>
      </w:pPr>
      <w:r w:rsidRPr="004C7A00">
        <w:t>The Furnishing Training Package (MSF) support</w:t>
      </w:r>
      <w:r w:rsidR="00552117">
        <w:t>ed</w:t>
      </w:r>
      <w:r w:rsidRPr="004C7A00">
        <w:t xml:space="preserve"> over </w:t>
      </w:r>
      <w:r w:rsidR="008439B3">
        <w:t>28,000</w:t>
      </w:r>
      <w:r w:rsidR="00552117">
        <w:t xml:space="preserve"> </w:t>
      </w:r>
      <w:r w:rsidRPr="004C7A00">
        <w:t xml:space="preserve">apprentices and trainees </w:t>
      </w:r>
      <w:r w:rsidR="00BA75E8" w:rsidRPr="004C7A00">
        <w:t>nationally</w:t>
      </w:r>
      <w:r w:rsidR="004D1F22">
        <w:t xml:space="preserve"> in 2024</w:t>
      </w:r>
      <w:r w:rsidR="00BA75E8" w:rsidRPr="004C7A00">
        <w:t>:</w:t>
      </w:r>
      <w:r w:rsidRPr="004C7A00">
        <w:t xml:space="preserve"> including cabinet makers, furniture finishers, </w:t>
      </w:r>
      <w:r w:rsidR="008439B3">
        <w:t>glass and glaziers</w:t>
      </w:r>
      <w:r w:rsidRPr="004C7A00">
        <w:t xml:space="preserve"> and designers.</w:t>
      </w:r>
    </w:p>
    <w:p w14:paraId="44BC7806" w14:textId="7CBA8964" w:rsidR="00047FCD" w:rsidRPr="004C7A00" w:rsidRDefault="00047FCD" w:rsidP="00A551BA">
      <w:pPr>
        <w:pStyle w:val="ListParagraph"/>
        <w:numPr>
          <w:ilvl w:val="0"/>
          <w:numId w:val="20"/>
        </w:numPr>
      </w:pPr>
      <w:r w:rsidRPr="004C7A00">
        <w:t>The industry is made up mostly of small to medium-sized businesses, many</w:t>
      </w:r>
      <w:r w:rsidR="38B59E27" w:rsidRPr="004C7A00">
        <w:t xml:space="preserve"> of which</w:t>
      </w:r>
      <w:r w:rsidRPr="004C7A00">
        <w:t xml:space="preserve"> employ fewer than 20 people.</w:t>
      </w:r>
    </w:p>
    <w:p w14:paraId="261AAC3C" w14:textId="139C10B5" w:rsidR="001234D3" w:rsidRPr="00944D10" w:rsidRDefault="001234D3" w:rsidP="00B05679">
      <w:pPr>
        <w:pStyle w:val="ListParagraph"/>
        <w:numPr>
          <w:ilvl w:val="0"/>
          <w:numId w:val="20"/>
        </w:numPr>
      </w:pPr>
      <w:r w:rsidRPr="00944D10">
        <w:t>Demand for skilled tradespeople remains strong and urgent, particularly in cabinet making, furniture making, and kitchen installation.</w:t>
      </w:r>
    </w:p>
    <w:p w14:paraId="70D803A4" w14:textId="5A3D640D" w:rsidR="00C11484" w:rsidRPr="00944D10" w:rsidRDefault="5DCB5F9F" w:rsidP="00E23BF9">
      <w:pPr>
        <w:pStyle w:val="ListParagraph"/>
        <w:numPr>
          <w:ilvl w:val="0"/>
          <w:numId w:val="20"/>
        </w:numPr>
      </w:pPr>
      <w:r w:rsidRPr="00944D10">
        <w:t>With the growth and use of t</w:t>
      </w:r>
      <w:r w:rsidR="00047FCD" w:rsidRPr="00944D10">
        <w:t xml:space="preserve">echnology and design tools such as CAD </w:t>
      </w:r>
      <w:r w:rsidR="5D02A54E" w:rsidRPr="00944D10">
        <w:t xml:space="preserve">(Computer Aided Drafting) </w:t>
      </w:r>
      <w:r w:rsidR="00047FCD" w:rsidRPr="00944D10">
        <w:t>software and CNC</w:t>
      </w:r>
      <w:r w:rsidR="3715C79A" w:rsidRPr="00944D10">
        <w:t xml:space="preserve"> </w:t>
      </w:r>
      <w:r w:rsidR="22A2966F" w:rsidRPr="00944D10">
        <w:t>(Computer Numerical Control)</w:t>
      </w:r>
      <w:r w:rsidR="00047FCD" w:rsidRPr="00944D10">
        <w:t xml:space="preserve"> machinery are reshaping the skills needed </w:t>
      </w:r>
      <w:r w:rsidR="00437907" w:rsidRPr="00944D10">
        <w:t xml:space="preserve">within the </w:t>
      </w:r>
      <w:r w:rsidR="1B025DB3" w:rsidRPr="00944D10">
        <w:t xml:space="preserve">trade </w:t>
      </w:r>
      <w:r w:rsidR="00437907" w:rsidRPr="00944D10">
        <w:t>workforce.</w:t>
      </w:r>
    </w:p>
    <w:p w14:paraId="41E128ED" w14:textId="2402676C" w:rsidR="00C11484" w:rsidRPr="00944D10" w:rsidRDefault="00C11484" w:rsidP="006E1242">
      <w:pPr>
        <w:pStyle w:val="ListParagraph"/>
        <w:numPr>
          <w:ilvl w:val="0"/>
          <w:numId w:val="20"/>
        </w:numPr>
      </w:pPr>
      <w:r w:rsidRPr="00944D10">
        <w:t>An ageing workforce and the ongoing national housing and infrastructure boom are intensifying this skills shortage, which is projected to continue. As a result, the return on investment for training and supporting apprentices is very high.</w:t>
      </w:r>
    </w:p>
    <w:p w14:paraId="24D847F9" w14:textId="55F10435" w:rsidR="00CB5A58" w:rsidRPr="00944D10" w:rsidRDefault="00CB5A58" w:rsidP="00CE63C1">
      <w:pPr>
        <w:pStyle w:val="SIDotpoints"/>
        <w:numPr>
          <w:ilvl w:val="0"/>
          <w:numId w:val="20"/>
        </w:numPr>
        <w:rPr>
          <w:rFonts w:asciiTheme="minorHAnsi" w:hAnsiTheme="minorHAnsi"/>
          <w:color w:val="auto"/>
        </w:rPr>
      </w:pPr>
      <w:r w:rsidRPr="00944D10">
        <w:rPr>
          <w:rFonts w:asciiTheme="minorHAnsi" w:hAnsiTheme="minorHAnsi"/>
          <w:color w:val="auto"/>
        </w:rPr>
        <w:t>The need for stronger supervision, mentoring, and communication to improve apprentice engagement, satisfaction, and retention rates</w:t>
      </w:r>
      <w:r w:rsidR="001702B0" w:rsidRPr="00944D10">
        <w:rPr>
          <w:rFonts w:asciiTheme="minorHAnsi" w:hAnsiTheme="minorHAnsi"/>
          <w:color w:val="auto"/>
        </w:rPr>
        <w:t>.</w:t>
      </w:r>
    </w:p>
    <w:p w14:paraId="38D28A65" w14:textId="68ABE7C7" w:rsidR="004564B5" w:rsidRPr="009321C0" w:rsidRDefault="00CB5A58" w:rsidP="009321C0">
      <w:pPr>
        <w:pStyle w:val="SIDotpoints"/>
        <w:rPr>
          <w:i/>
          <w:color w:val="EE0000"/>
          <w:sz w:val="18"/>
          <w:szCs w:val="18"/>
        </w:rPr>
      </w:pPr>
      <w:r w:rsidRPr="00944D10">
        <w:rPr>
          <w:rFonts w:asciiTheme="minorHAnsi" w:hAnsiTheme="minorHAnsi"/>
          <w:color w:val="auto"/>
        </w:rPr>
        <w:t xml:space="preserve">Major demographic challenges due to an ageing workforce - many experienced cabinet makers, upholsterers, and wood machinists are nearing retirement, taking with them decades of unwritten institutional knowledge and advanced trade </w:t>
      </w:r>
      <w:proofErr w:type="gramStart"/>
      <w:r w:rsidRPr="00944D10">
        <w:rPr>
          <w:rFonts w:asciiTheme="minorHAnsi" w:hAnsiTheme="minorHAnsi"/>
          <w:color w:val="auto"/>
        </w:rPr>
        <w:t>skills.</w:t>
      </w:r>
      <w:r w:rsidR="00FF2E7B" w:rsidRPr="009321C0">
        <w:rPr>
          <w:i/>
          <w:iCs/>
          <w:color w:val="EE0000"/>
          <w:sz w:val="18"/>
          <w:szCs w:val="18"/>
        </w:rPr>
        <w:t>*</w:t>
      </w:r>
      <w:proofErr w:type="gramEnd"/>
      <w:r w:rsidR="00FF2E7B" w:rsidRPr="009321C0">
        <w:rPr>
          <w:i/>
          <w:color w:val="EE0000"/>
          <w:sz w:val="18"/>
          <w:szCs w:val="18"/>
        </w:rPr>
        <w:t xml:space="preserve">NCVER </w:t>
      </w:r>
      <w:r w:rsidR="00B65FA6" w:rsidRPr="009321C0">
        <w:rPr>
          <w:i/>
          <w:color w:val="EE0000"/>
          <w:sz w:val="18"/>
          <w:szCs w:val="18"/>
        </w:rPr>
        <w:t xml:space="preserve">“in training” 2024 data </w:t>
      </w:r>
    </w:p>
    <w:p w14:paraId="0A406353" w14:textId="593DF595" w:rsidR="4FA485AB" w:rsidRDefault="4FA485AB" w:rsidP="4FA485AB">
      <w:pPr>
        <w:ind w:left="720"/>
        <w:rPr>
          <w:color w:val="EE0000"/>
        </w:rPr>
      </w:pPr>
    </w:p>
    <w:p w14:paraId="261D1236" w14:textId="77777777" w:rsidR="003A172C" w:rsidRPr="003B3344" w:rsidRDefault="003A172C" w:rsidP="003A172C">
      <w:pPr>
        <w:pStyle w:val="Heading1"/>
        <w:jc w:val="center"/>
        <w:rPr>
          <w:rFonts w:ascii="Aptos" w:hAnsi="Aptos"/>
          <w:b/>
          <w:bCs/>
          <w:color w:val="auto"/>
          <w:sz w:val="22"/>
          <w:szCs w:val="22"/>
        </w:rPr>
      </w:pPr>
      <w:r w:rsidRPr="003B3344">
        <w:rPr>
          <w:rFonts w:ascii="Aptos" w:hAnsi="Aptos"/>
          <w:b/>
          <w:bCs/>
          <w:color w:val="auto"/>
          <w:sz w:val="22"/>
          <w:szCs w:val="22"/>
        </w:rPr>
        <w:lastRenderedPageBreak/>
        <w:t>Furnishing Industry Snapshot 2025</w:t>
      </w:r>
    </w:p>
    <w:p w14:paraId="44505B89" w14:textId="77777777" w:rsidR="003A172C" w:rsidRPr="003B3344" w:rsidRDefault="003A172C" w:rsidP="003A172C">
      <w:pPr>
        <w:pStyle w:val="Heading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b/>
          <w:bCs/>
          <w:color w:val="auto"/>
          <w:sz w:val="18"/>
          <w:szCs w:val="18"/>
        </w:rPr>
      </w:pPr>
      <w:r w:rsidRPr="003B3344">
        <w:rPr>
          <w:rFonts w:ascii="Aptos" w:hAnsi="Aptos"/>
          <w:b/>
          <w:bCs/>
          <w:color w:val="auto"/>
          <w:sz w:val="18"/>
          <w:szCs w:val="18"/>
        </w:rPr>
        <w:t>Overview</w:t>
      </w:r>
    </w:p>
    <w:p w14:paraId="59D48044" w14:textId="467A4184" w:rsidR="003A172C" w:rsidRDefault="003A172C" w:rsidP="003A1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br/>
        <w:t xml:space="preserve">Over </w:t>
      </w:r>
      <w:r w:rsidR="00ED76C4" w:rsidRPr="00ED76C4">
        <w:rPr>
          <w:rFonts w:ascii="Aptos" w:hAnsi="Aptos"/>
          <w:sz w:val="16"/>
          <w:szCs w:val="16"/>
        </w:rPr>
        <w:t>28,</w:t>
      </w:r>
      <w:r w:rsidR="008439B3">
        <w:rPr>
          <w:rFonts w:ascii="Aptos" w:hAnsi="Aptos"/>
          <w:sz w:val="16"/>
          <w:szCs w:val="16"/>
        </w:rPr>
        <w:t>000</w:t>
      </w:r>
      <w:r w:rsidRPr="00922FEC">
        <w:rPr>
          <w:rFonts w:ascii="Aptos" w:hAnsi="Aptos"/>
          <w:sz w:val="16"/>
          <w:szCs w:val="16"/>
        </w:rPr>
        <w:t xml:space="preserve"> apprentices and trainees are currently in training (MSF Furnishing Training Package).</w:t>
      </w:r>
      <w:r w:rsidRPr="00922FEC">
        <w:rPr>
          <w:rFonts w:ascii="Aptos" w:hAnsi="Aptos"/>
          <w:sz w:val="16"/>
          <w:szCs w:val="16"/>
        </w:rPr>
        <w:br/>
        <w:t>About 80% of businesses employ fewer than 20 people, making it a skilled small-business sector.</w:t>
      </w:r>
    </w:p>
    <w:p w14:paraId="4849A750" w14:textId="77777777" w:rsidR="003A172C" w:rsidRPr="00922FEC" w:rsidRDefault="00AD57DE" w:rsidP="003A17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b/>
          <w:bCs/>
          <w:sz w:val="18"/>
          <w:szCs w:val="18"/>
        </w:rPr>
      </w:pPr>
      <w:r>
        <w:rPr>
          <w:rFonts w:ascii="Aptos" w:hAnsi="Aptos"/>
          <w:b/>
          <w:bCs/>
          <w:sz w:val="18"/>
          <w:szCs w:val="18"/>
        </w:rPr>
        <w:pict w14:anchorId="317541E5">
          <v:rect id="_x0000_i1025" style="width:0;height:1.5pt" o:hralign="center" o:hrstd="t" o:hr="t" fillcolor="#a0a0a0" stroked="f"/>
        </w:pict>
      </w:r>
      <w:r w:rsidR="003A172C" w:rsidRPr="00922FEC">
        <w:rPr>
          <w:rFonts w:ascii="Aptos" w:hAnsi="Aptos"/>
          <w:b/>
          <w:bCs/>
          <w:sz w:val="18"/>
          <w:szCs w:val="18"/>
        </w:rPr>
        <w:t>Main Sectors in the Furnishing Industry</w:t>
      </w:r>
    </w:p>
    <w:p w14:paraId="4CA49682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Cabinet Making and Joinery</w:t>
      </w:r>
    </w:p>
    <w:p w14:paraId="612EC906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Furniture Making and Finishing</w:t>
      </w:r>
    </w:p>
    <w:p w14:paraId="5AE2D62D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Upholstery and Soft Furnishings</w:t>
      </w:r>
    </w:p>
    <w:p w14:paraId="4B3F64DF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Furniture Design and Product Development</w:t>
      </w:r>
    </w:p>
    <w:p w14:paraId="5A0DA7C3" w14:textId="77777777" w:rsidR="001A4D5B" w:rsidRPr="001A4D5B" w:rsidRDefault="003A172C" w:rsidP="001A4D5B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Picture Framing and Restoration</w:t>
      </w:r>
    </w:p>
    <w:p w14:paraId="58E9BB21" w14:textId="42D02C56" w:rsidR="003A172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Kitchen, Bathroom, and Commercial Fitouts</w:t>
      </w:r>
    </w:p>
    <w:p w14:paraId="19BCD248" w14:textId="77777777" w:rsidR="003A172C" w:rsidRPr="00922FEC" w:rsidRDefault="00AD57DE" w:rsidP="003A172C">
      <w:pPr>
        <w:pStyle w:val="ListBulle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16"/>
          <w:szCs w:val="16"/>
        </w:rPr>
      </w:pPr>
      <w:r>
        <w:rPr>
          <w:rFonts w:ascii="Aptos" w:hAnsi="Aptos"/>
          <w:sz w:val="16"/>
          <w:szCs w:val="16"/>
        </w:rPr>
        <w:pict w14:anchorId="7A6DC781">
          <v:rect id="_x0000_i1026" style="width:0;height:1.5pt" o:hralign="center" o:hrstd="t" o:hr="t" fillcolor="#a0a0a0" stroked="f"/>
        </w:pict>
      </w:r>
      <w:r w:rsidR="003A172C" w:rsidRPr="00922FEC">
        <w:rPr>
          <w:rFonts w:ascii="Aptos" w:hAnsi="Aptos"/>
          <w:b/>
          <w:bCs/>
          <w:sz w:val="18"/>
          <w:szCs w:val="18"/>
        </w:rPr>
        <w:t>Current Challenges</w:t>
      </w:r>
    </w:p>
    <w:p w14:paraId="7BDBE035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Declining apprenticeship commencements (down 20% since 2021).</w:t>
      </w:r>
    </w:p>
    <w:p w14:paraId="3D35391B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Completion rates averaging around 50%.</w:t>
      </w:r>
    </w:p>
    <w:p w14:paraId="3DDC915B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Attracting women and diverse apprentices into trades.</w:t>
      </w:r>
    </w:p>
    <w:p w14:paraId="51C13403" w14:textId="77777777" w:rsidR="003A172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Need for stronger supervision, mentoring, and communication.</w:t>
      </w:r>
    </w:p>
    <w:p w14:paraId="7BF53CC4" w14:textId="77777777" w:rsidR="003A172C" w:rsidRPr="00922FEC" w:rsidRDefault="00AD57DE" w:rsidP="003A172C">
      <w:pPr>
        <w:pStyle w:val="ListBulle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b/>
          <w:bCs/>
          <w:sz w:val="18"/>
          <w:szCs w:val="18"/>
        </w:rPr>
      </w:pPr>
      <w:r>
        <w:rPr>
          <w:rFonts w:ascii="Aptos" w:hAnsi="Aptos"/>
          <w:sz w:val="16"/>
          <w:szCs w:val="16"/>
        </w:rPr>
        <w:pict w14:anchorId="608B8D7B">
          <v:rect id="_x0000_i1027" style="width:0;height:1.5pt" o:hralign="center" o:hrstd="t" o:hr="t" fillcolor="#a0a0a0" stroked="f"/>
        </w:pict>
      </w:r>
      <w:r w:rsidR="003A172C" w:rsidRPr="00922FEC">
        <w:rPr>
          <w:rFonts w:ascii="Aptos" w:hAnsi="Aptos"/>
          <w:b/>
          <w:bCs/>
          <w:sz w:val="18"/>
          <w:szCs w:val="18"/>
        </w:rPr>
        <w:t>Opportunities Ahead</w:t>
      </w:r>
    </w:p>
    <w:p w14:paraId="0A2917B4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Strong demand for skilled tradespeople.</w:t>
      </w:r>
    </w:p>
    <w:p w14:paraId="657F0877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Growth in digital design, CAD, and CNC technologies.</w:t>
      </w:r>
    </w:p>
    <w:p w14:paraId="5574A049" w14:textId="77777777" w:rsidR="003A172C" w:rsidRPr="00922FE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Focus on sustainable materials and manufacturing.</w:t>
      </w:r>
    </w:p>
    <w:p w14:paraId="7635EF4D" w14:textId="77777777" w:rsidR="003A172C" w:rsidRDefault="003A172C" w:rsidP="003A172C">
      <w:pPr>
        <w:pStyle w:val="ListBul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rPr>
          <w:rFonts w:ascii="Aptos" w:hAnsi="Aptos"/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Industry collaboration through ACFA and Skills Insight.</w:t>
      </w:r>
    </w:p>
    <w:p w14:paraId="0E2A5490" w14:textId="77777777" w:rsidR="003A172C" w:rsidRPr="00922FEC" w:rsidRDefault="00AD57DE" w:rsidP="003A172C">
      <w:pPr>
        <w:pStyle w:val="ListBulle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ptos" w:hAnsi="Aptos"/>
          <w:sz w:val="16"/>
          <w:szCs w:val="16"/>
        </w:rPr>
      </w:pPr>
      <w:r>
        <w:rPr>
          <w:rFonts w:ascii="Aptos" w:hAnsi="Aptos"/>
          <w:sz w:val="16"/>
          <w:szCs w:val="16"/>
        </w:rPr>
        <w:pict w14:anchorId="64BF9DFE">
          <v:rect id="_x0000_i1028" style="width:0;height:1.5pt" o:hralign="center" o:hrstd="t" o:hr="t" fillcolor="#a0a0a0" stroked="f"/>
        </w:pict>
      </w:r>
      <w:r w:rsidR="003A172C" w:rsidRPr="00922FEC">
        <w:rPr>
          <w:rFonts w:ascii="Aptos" w:hAnsi="Aptos"/>
          <w:b/>
          <w:bCs/>
          <w:sz w:val="18"/>
          <w:szCs w:val="18"/>
        </w:rPr>
        <w:t>Data Sources</w:t>
      </w:r>
    </w:p>
    <w:p w14:paraId="1932E35B" w14:textId="7A0CAB77" w:rsidR="00437907" w:rsidRPr="00FE2BDF" w:rsidRDefault="003A172C" w:rsidP="00FE2B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</w:rPr>
      </w:pPr>
      <w:r w:rsidRPr="00922FEC">
        <w:rPr>
          <w:rFonts w:ascii="Aptos" w:hAnsi="Aptos"/>
          <w:sz w:val="16"/>
          <w:szCs w:val="16"/>
        </w:rPr>
        <w:t>Skills Insight (2024), NCVER (2024), ABS (2024), DEWR (2025), ACFA Member Data.</w:t>
      </w:r>
      <w:r w:rsidR="00FE2BDF">
        <w:t xml:space="preserve"> </w:t>
      </w:r>
    </w:p>
    <w:p w14:paraId="3B5A2CC3" w14:textId="7103B76B" w:rsidR="004D6395" w:rsidRPr="00F14209" w:rsidRDefault="00F14209" w:rsidP="6A3CB234">
      <w:pPr>
        <w:rPr>
          <w:color w:val="0F4761" w:themeColor="accent1" w:themeShade="BF"/>
        </w:rPr>
      </w:pPr>
      <w:r>
        <w:rPr>
          <w:color w:val="0F4761" w:themeColor="accent1" w:themeShade="BF"/>
        </w:rPr>
        <w:t>(Data above in a snapshot)</w:t>
      </w:r>
    </w:p>
    <w:p w14:paraId="1DC39685" w14:textId="0D740218" w:rsidR="00EF6940" w:rsidRPr="00F14209" w:rsidRDefault="004D6395" w:rsidP="6A3CB234">
      <w:p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>F</w:t>
      </w:r>
      <w:r w:rsidR="00EF6940" w:rsidRPr="00F14209">
        <w:rPr>
          <w:color w:val="0F4761" w:themeColor="accent1" w:themeShade="BF"/>
        </w:rPr>
        <w:t xml:space="preserve">urnishing Industry Snapshot 2025 Overview Around 35,000 people work in the Australian furnishing and cabinet making sectors. </w:t>
      </w:r>
    </w:p>
    <w:p w14:paraId="4CF3846A" w14:textId="211276CD" w:rsidR="00EF6940" w:rsidRPr="00F14209" w:rsidRDefault="00EF6940" w:rsidP="6A3CB234">
      <w:p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Over </w:t>
      </w:r>
      <w:r w:rsidR="00B764E3" w:rsidRPr="00F14209">
        <w:rPr>
          <w:color w:val="0F4761" w:themeColor="accent1" w:themeShade="BF"/>
        </w:rPr>
        <w:t>28,000</w:t>
      </w:r>
      <w:r w:rsidRPr="00F14209">
        <w:rPr>
          <w:color w:val="0F4761" w:themeColor="accent1" w:themeShade="BF"/>
        </w:rPr>
        <w:t xml:space="preserve"> apprentices and trainees are currently in training (MSF Furnishing Training Package). About 80% of businesses employ fewer than 20 people, making it a skilled small-business sector.</w:t>
      </w:r>
    </w:p>
    <w:p w14:paraId="0B1E6E65" w14:textId="71E25949" w:rsidR="003B3344" w:rsidRPr="00F14209" w:rsidRDefault="00EF6940" w:rsidP="6A3CB234">
      <w:p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 Main Sectors in the Furnishing Industry: </w:t>
      </w:r>
    </w:p>
    <w:p w14:paraId="1973485B" w14:textId="77777777" w:rsidR="003B3344" w:rsidRPr="00F14209" w:rsidRDefault="00EF6940" w:rsidP="6A3CB234">
      <w:pPr>
        <w:pStyle w:val="ListParagraph"/>
        <w:numPr>
          <w:ilvl w:val="0"/>
          <w:numId w:val="38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Cabinet Making and Joinery </w:t>
      </w:r>
    </w:p>
    <w:p w14:paraId="532BD9D5" w14:textId="77777777" w:rsidR="003B3344" w:rsidRPr="00F14209" w:rsidRDefault="00EF6940" w:rsidP="6A3CB234">
      <w:pPr>
        <w:pStyle w:val="ListParagraph"/>
        <w:numPr>
          <w:ilvl w:val="0"/>
          <w:numId w:val="38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Furniture Making and Finishing </w:t>
      </w:r>
    </w:p>
    <w:p w14:paraId="714BB363" w14:textId="77777777" w:rsidR="003B3344" w:rsidRPr="00F14209" w:rsidRDefault="00EF6940" w:rsidP="6A3CB234">
      <w:pPr>
        <w:pStyle w:val="ListParagraph"/>
        <w:numPr>
          <w:ilvl w:val="0"/>
          <w:numId w:val="38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Upholstery and Soft Furnishings </w:t>
      </w:r>
    </w:p>
    <w:p w14:paraId="4623F5EE" w14:textId="77777777" w:rsidR="003B3344" w:rsidRPr="00F14209" w:rsidRDefault="00EF6940" w:rsidP="6A3CB234">
      <w:pPr>
        <w:pStyle w:val="ListParagraph"/>
        <w:numPr>
          <w:ilvl w:val="0"/>
          <w:numId w:val="38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Furniture Design and Product Development </w:t>
      </w:r>
    </w:p>
    <w:p w14:paraId="764B7837" w14:textId="216BF85E" w:rsidR="00EF6940" w:rsidRPr="00F14209" w:rsidRDefault="00EF6940" w:rsidP="6A3CB234">
      <w:pPr>
        <w:pStyle w:val="ListParagraph"/>
        <w:numPr>
          <w:ilvl w:val="0"/>
          <w:numId w:val="38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Picture Framing and Restoration </w:t>
      </w:r>
    </w:p>
    <w:p w14:paraId="201BE382" w14:textId="1ACB70CC" w:rsidR="00BF56F5" w:rsidRPr="00F14209" w:rsidRDefault="00EF6940" w:rsidP="6A3CB234">
      <w:p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Kitchen, Bathroom, and Commercial </w:t>
      </w:r>
      <w:proofErr w:type="spellStart"/>
      <w:r w:rsidRPr="00F14209">
        <w:rPr>
          <w:color w:val="0F4761" w:themeColor="accent1" w:themeShade="BF"/>
        </w:rPr>
        <w:t>Fitouts</w:t>
      </w:r>
      <w:proofErr w:type="spellEnd"/>
      <w:r w:rsidRPr="00F14209">
        <w:rPr>
          <w:color w:val="0F4761" w:themeColor="accent1" w:themeShade="BF"/>
        </w:rPr>
        <w:t xml:space="preserve"> Current Challenges:</w:t>
      </w:r>
    </w:p>
    <w:p w14:paraId="40A2D8B4" w14:textId="77777777" w:rsidR="00BF56F5" w:rsidRPr="00F14209" w:rsidRDefault="00EF6940" w:rsidP="6A3CB234">
      <w:pPr>
        <w:pStyle w:val="ListParagraph"/>
        <w:numPr>
          <w:ilvl w:val="0"/>
          <w:numId w:val="39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Declining apprenticeship commencements (down 20% since 2021). </w:t>
      </w:r>
    </w:p>
    <w:p w14:paraId="0781D786" w14:textId="77777777" w:rsidR="00BF56F5" w:rsidRPr="00F14209" w:rsidRDefault="00EF6940" w:rsidP="6A3CB234">
      <w:pPr>
        <w:pStyle w:val="ListParagraph"/>
        <w:numPr>
          <w:ilvl w:val="0"/>
          <w:numId w:val="39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Completion rates averaging around 50%. </w:t>
      </w:r>
    </w:p>
    <w:p w14:paraId="0F5849E8" w14:textId="77777777" w:rsidR="00BF56F5" w:rsidRPr="00F14209" w:rsidRDefault="00EF6940" w:rsidP="6A3CB234">
      <w:pPr>
        <w:pStyle w:val="ListParagraph"/>
        <w:numPr>
          <w:ilvl w:val="0"/>
          <w:numId w:val="39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lastRenderedPageBreak/>
        <w:t xml:space="preserve">Attracting women and diverse apprentices into trades. </w:t>
      </w:r>
    </w:p>
    <w:p w14:paraId="1718F70D" w14:textId="7AE71D34" w:rsidR="00EF6940" w:rsidRPr="00F14209" w:rsidRDefault="00EF6940" w:rsidP="6A3CB234">
      <w:pPr>
        <w:pStyle w:val="ListParagraph"/>
        <w:numPr>
          <w:ilvl w:val="0"/>
          <w:numId w:val="39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Need for stronger supervision, mentoring, and communication. </w:t>
      </w:r>
    </w:p>
    <w:p w14:paraId="0AB88476" w14:textId="0CBA435A" w:rsidR="00BF56F5" w:rsidRPr="00F14209" w:rsidRDefault="00EF6940" w:rsidP="6A3CB234">
      <w:p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Opportunities Ahead: </w:t>
      </w:r>
    </w:p>
    <w:p w14:paraId="5D5525E6" w14:textId="77777777" w:rsidR="00BF56F5" w:rsidRPr="00F14209" w:rsidRDefault="00EF6940" w:rsidP="6A3CB234">
      <w:pPr>
        <w:pStyle w:val="ListParagraph"/>
        <w:numPr>
          <w:ilvl w:val="0"/>
          <w:numId w:val="40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Strong demand for skilled tradespeople. </w:t>
      </w:r>
    </w:p>
    <w:p w14:paraId="3647B19D" w14:textId="77777777" w:rsidR="00BF56F5" w:rsidRPr="00F14209" w:rsidRDefault="00EF6940" w:rsidP="6A3CB234">
      <w:pPr>
        <w:pStyle w:val="ListParagraph"/>
        <w:numPr>
          <w:ilvl w:val="0"/>
          <w:numId w:val="40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Growth in digital design, CAD, and CNC technologies. </w:t>
      </w:r>
    </w:p>
    <w:p w14:paraId="08D316FD" w14:textId="77777777" w:rsidR="00BF56F5" w:rsidRPr="00F14209" w:rsidRDefault="00EF6940" w:rsidP="6A3CB234">
      <w:pPr>
        <w:pStyle w:val="ListParagraph"/>
        <w:numPr>
          <w:ilvl w:val="0"/>
          <w:numId w:val="40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 xml:space="preserve">Focus on sustainable materials and manufacturing. </w:t>
      </w:r>
    </w:p>
    <w:p w14:paraId="6D4E747D" w14:textId="696C8612" w:rsidR="00EF6940" w:rsidRPr="00F14209" w:rsidRDefault="00EF6940" w:rsidP="6A3CB234">
      <w:pPr>
        <w:pStyle w:val="ListParagraph"/>
        <w:numPr>
          <w:ilvl w:val="0"/>
          <w:numId w:val="40"/>
        </w:numPr>
        <w:rPr>
          <w:color w:val="0F4761" w:themeColor="accent1" w:themeShade="BF"/>
        </w:rPr>
      </w:pPr>
      <w:r w:rsidRPr="00F14209">
        <w:rPr>
          <w:color w:val="0F4761" w:themeColor="accent1" w:themeShade="BF"/>
        </w:rPr>
        <w:t>Industry collaboration through Skills Insight. Data Sources: Skills Insight (2024), NCVER (2024), ABS (2024), DEWR (2025), ACFA Member Data.</w:t>
      </w:r>
    </w:p>
    <w:p w14:paraId="57ECC8F9" w14:textId="21A58366" w:rsidR="00EF6940" w:rsidRDefault="00EF6940" w:rsidP="6A3CB234">
      <w:pPr>
        <w:rPr>
          <w:b/>
          <w:bCs/>
          <w:sz w:val="28"/>
          <w:szCs w:val="28"/>
        </w:rPr>
      </w:pPr>
    </w:p>
    <w:p w14:paraId="20B160D4" w14:textId="5779EECC" w:rsidR="00047FCD" w:rsidRPr="00047FCD" w:rsidRDefault="0A0E085C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 xml:space="preserve">Some </w:t>
      </w:r>
      <w:r w:rsidR="00047FCD" w:rsidRPr="6A3CB234">
        <w:rPr>
          <w:b/>
          <w:bCs/>
          <w:sz w:val="28"/>
          <w:szCs w:val="28"/>
        </w:rPr>
        <w:t>Key Workforce Challenges:</w:t>
      </w:r>
    </w:p>
    <w:p w14:paraId="4FDC586A" w14:textId="3AA622B3" w:rsidR="00047FCD" w:rsidRPr="00563A19" w:rsidRDefault="6CD9A77D" w:rsidP="00F122F5">
      <w:pPr>
        <w:pStyle w:val="ListParagraph"/>
        <w:numPr>
          <w:ilvl w:val="0"/>
          <w:numId w:val="4"/>
        </w:numPr>
      </w:pPr>
      <w:r w:rsidRPr="00563A19">
        <w:t>A d</w:t>
      </w:r>
      <w:r w:rsidR="00047FCD" w:rsidRPr="00563A19">
        <w:t>eclin</w:t>
      </w:r>
      <w:r w:rsidR="4A99BE19" w:rsidRPr="00563A19">
        <w:t>e in</w:t>
      </w:r>
      <w:r w:rsidR="00047FCD" w:rsidRPr="00563A19">
        <w:t xml:space="preserve"> apprenticeship commencements</w:t>
      </w:r>
      <w:r w:rsidR="31B1A9EA" w:rsidRPr="00563A19">
        <w:t xml:space="preserve"> – the </w:t>
      </w:r>
      <w:r w:rsidR="00047FCD" w:rsidRPr="00563A19">
        <w:t xml:space="preserve">national data </w:t>
      </w:r>
      <w:r w:rsidR="72022E0A" w:rsidRPr="00563A19">
        <w:t>indicates a decline of about 20%</w:t>
      </w:r>
      <w:r w:rsidR="5F1E7301" w:rsidRPr="00563A19">
        <w:t xml:space="preserve"> since 202</w:t>
      </w:r>
      <w:r w:rsidR="007C0E56" w:rsidRPr="00563A19">
        <w:t>1, contributing to ongoing skill shortages</w:t>
      </w:r>
      <w:r w:rsidR="006A0051">
        <w:t>.</w:t>
      </w:r>
    </w:p>
    <w:p w14:paraId="5338CB93" w14:textId="266AB1C5" w:rsidR="00047FCD" w:rsidRPr="00563A19" w:rsidRDefault="00047FCD" w:rsidP="000C33B3">
      <w:pPr>
        <w:pStyle w:val="ListParagraph"/>
        <w:numPr>
          <w:ilvl w:val="0"/>
          <w:numId w:val="4"/>
        </w:numPr>
      </w:pPr>
      <w:r w:rsidRPr="00563A19">
        <w:t>Apprenticeship completion rates averag</w:t>
      </w:r>
      <w:r w:rsidR="081E01AE" w:rsidRPr="00563A19">
        <w:t>e between</w:t>
      </w:r>
      <w:r w:rsidRPr="00563A19">
        <w:t xml:space="preserve"> 45–50% across </w:t>
      </w:r>
      <w:r w:rsidR="70F2E577" w:rsidRPr="00563A19">
        <w:t xml:space="preserve">most </w:t>
      </w:r>
      <w:r w:rsidRPr="00563A19">
        <w:t>trade sectors</w:t>
      </w:r>
      <w:r w:rsidR="004B0955">
        <w:t xml:space="preserve">, however in </w:t>
      </w:r>
      <w:r w:rsidR="003E4EF5">
        <w:t xml:space="preserve">Furnishing sector – there is </w:t>
      </w:r>
      <w:r w:rsidR="00653B88">
        <w:t>a</w:t>
      </w:r>
      <w:r w:rsidR="00387044">
        <w:t xml:space="preserve"> </w:t>
      </w:r>
      <w:r w:rsidR="003E4EF5">
        <w:t>completion rate</w:t>
      </w:r>
      <w:r w:rsidR="00653B88">
        <w:t xml:space="preserve"> of between 20-25% over the past 5 years</w:t>
      </w:r>
      <w:r w:rsidRPr="00563A19">
        <w:t>.</w:t>
      </w:r>
    </w:p>
    <w:p w14:paraId="5F2B15DB" w14:textId="4FE34D15" w:rsidR="00047FCD" w:rsidRPr="00563A19" w:rsidRDefault="00047FCD" w:rsidP="00DB22D0">
      <w:pPr>
        <w:pStyle w:val="ListParagraph"/>
        <w:numPr>
          <w:ilvl w:val="0"/>
          <w:numId w:val="4"/>
        </w:numPr>
      </w:pPr>
      <w:r w:rsidRPr="00563A19">
        <w:t xml:space="preserve">The need for stronger supervision, mentoring, and communication </w:t>
      </w:r>
      <w:r w:rsidR="2DFC7AD3" w:rsidRPr="00563A19">
        <w:t>will</w:t>
      </w:r>
      <w:r w:rsidRPr="00563A19">
        <w:t xml:space="preserve"> improve </w:t>
      </w:r>
      <w:r w:rsidR="00437907" w:rsidRPr="00563A19">
        <w:t xml:space="preserve">apprentice </w:t>
      </w:r>
      <w:r w:rsidRPr="00563A19">
        <w:t>engagement and retention</w:t>
      </w:r>
      <w:r w:rsidR="050A77F6" w:rsidRPr="00563A19">
        <w:t xml:space="preserve"> rates</w:t>
      </w:r>
      <w:r w:rsidRPr="00563A19">
        <w:t>.</w:t>
      </w:r>
    </w:p>
    <w:p w14:paraId="1C112463" w14:textId="77777777" w:rsidR="00716819" w:rsidRPr="00563A19" w:rsidRDefault="00716819" w:rsidP="00D23EBE">
      <w:pPr>
        <w:pStyle w:val="SIDotpoints"/>
        <w:numPr>
          <w:ilvl w:val="0"/>
          <w:numId w:val="4"/>
        </w:numPr>
        <w:rPr>
          <w:rFonts w:asciiTheme="minorHAnsi" w:hAnsiTheme="minorHAnsi"/>
          <w:color w:val="auto"/>
        </w:rPr>
      </w:pPr>
      <w:r w:rsidRPr="00563A19">
        <w:rPr>
          <w:rFonts w:asciiTheme="minorHAnsi" w:hAnsiTheme="minorHAnsi"/>
          <w:color w:val="auto"/>
        </w:rPr>
        <w:t>High apprenticeship non-completion rates, averaging between 45-50% across most trade sectors, further reducing the pool of qualified tradespeople</w:t>
      </w:r>
    </w:p>
    <w:p w14:paraId="6F2985F1" w14:textId="77777777" w:rsidR="00035BEB" w:rsidRDefault="00035BEB" w:rsidP="62F9CCC8">
      <w:pPr>
        <w:rPr>
          <w:rStyle w:val="CommentReference"/>
          <w:rFonts w:ascii="Avenir Next LT Pro" w:hAnsi="Avenir Next LT Pro"/>
          <w:color w:val="1E3531"/>
          <w:sz w:val="24"/>
          <w:szCs w:val="24"/>
        </w:rPr>
      </w:pPr>
    </w:p>
    <w:p w14:paraId="7A85F61F" w14:textId="6B3BD2F2" w:rsidR="00021B1C" w:rsidRPr="00021B1C" w:rsidRDefault="00021B1C" w:rsidP="46E4911C">
      <w:pPr>
        <w:rPr>
          <w:rFonts w:eastAsiaTheme="minorEastAsia"/>
          <w:b/>
          <w:bCs/>
        </w:rPr>
      </w:pPr>
      <w:r w:rsidRPr="46E4911C">
        <w:rPr>
          <w:rFonts w:eastAsiaTheme="minorEastAsia"/>
          <w:b/>
          <w:bCs/>
          <w:sz w:val="28"/>
          <w:szCs w:val="28"/>
        </w:rPr>
        <w:t>What causes high dropout / attrition rates</w:t>
      </w:r>
    </w:p>
    <w:p w14:paraId="14BD6618" w14:textId="3AEF5F43" w:rsidR="00817512" w:rsidRDefault="00021B1C" w:rsidP="1F92A407">
      <w:pPr>
        <w:pStyle w:val="SIBodyText"/>
        <w:rPr>
          <w:rFonts w:asciiTheme="minorHAnsi" w:eastAsiaTheme="minorEastAsia" w:hAnsiTheme="minorHAnsi"/>
          <w:color w:val="auto"/>
        </w:rPr>
      </w:pPr>
      <w:r w:rsidRPr="1F92A407">
        <w:rPr>
          <w:rFonts w:asciiTheme="minorHAnsi" w:eastAsiaTheme="minorEastAsia" w:hAnsiTheme="minorHAnsi"/>
          <w:color w:val="auto"/>
        </w:rPr>
        <w:t>Research identifies several major reasons why apprentices don’t complete their training:</w:t>
      </w:r>
    </w:p>
    <w:p w14:paraId="110070B6" w14:textId="77777777" w:rsidR="00817512" w:rsidRDefault="00817512" w:rsidP="00021B1C">
      <w:pPr>
        <w:pStyle w:val="SIDotpoints"/>
        <w:ind w:left="360" w:firstLine="0"/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649"/>
        <w:gridCol w:w="6673"/>
      </w:tblGrid>
      <w:tr w:rsidR="00021B1C" w14:paraId="0351F9EC" w14:textId="77777777" w:rsidTr="6EF679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53176445" w14:textId="77777777" w:rsidR="00021B1C" w:rsidRDefault="00021B1C" w:rsidP="6A3CB234">
            <w:pPr>
              <w:pStyle w:val="SITableHeading1"/>
              <w:rPr>
                <w:rFonts w:ascii="Aptos" w:eastAsia="Aptos" w:hAnsi="Aptos" w:cs="Aptos"/>
                <w:bCs/>
                <w:color w:val="auto"/>
              </w:rPr>
            </w:pPr>
            <w:r w:rsidRPr="6A3CB234">
              <w:rPr>
                <w:rFonts w:ascii="Aptos" w:eastAsia="Aptos" w:hAnsi="Aptos" w:cs="Aptos"/>
                <w:bCs/>
                <w:color w:val="auto"/>
              </w:rPr>
              <w:t>Category</w:t>
            </w:r>
          </w:p>
        </w:tc>
        <w:tc>
          <w:tcPr>
            <w:tcW w:w="6673" w:type="dxa"/>
            <w:hideMark/>
          </w:tcPr>
          <w:p w14:paraId="436E8E32" w14:textId="77777777" w:rsidR="00021B1C" w:rsidRDefault="00021B1C" w:rsidP="6A3CB234">
            <w:pPr>
              <w:pStyle w:val="SITableHeading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" w:eastAsia="Aptos" w:hAnsi="Aptos" w:cs="Aptos"/>
                <w:bCs/>
                <w:color w:val="auto"/>
              </w:rPr>
            </w:pPr>
            <w:r w:rsidRPr="6A3CB234">
              <w:rPr>
                <w:rFonts w:ascii="Aptos" w:eastAsia="Aptos" w:hAnsi="Aptos" w:cs="Aptos"/>
                <w:bCs/>
                <w:color w:val="auto"/>
              </w:rPr>
              <w:t>Key Issues</w:t>
            </w:r>
          </w:p>
        </w:tc>
      </w:tr>
      <w:tr w:rsidR="00021B1C" w14:paraId="3F76842B" w14:textId="77777777" w:rsidTr="3CB925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7AED7978" w14:textId="5E5B4109" w:rsidR="00021B1C" w:rsidRDefault="00021B1C" w:rsidP="6A3CB234">
            <w:pPr>
              <w:pStyle w:val="SITableHeading2"/>
              <w:rPr>
                <w:rFonts w:ascii="Aptos" w:eastAsia="Aptos" w:hAnsi="Aptos" w:cs="Aptos"/>
                <w:color w:val="auto"/>
                <w:sz w:val="24"/>
                <w:szCs w:val="24"/>
              </w:rPr>
            </w:pPr>
            <w:r w:rsidRPr="6A3CB234"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  <w:lastRenderedPageBreak/>
              <w:t>Workplace / Employer-related</w:t>
            </w:r>
          </w:p>
        </w:tc>
        <w:tc>
          <w:tcPr>
            <w:tcW w:w="6673" w:type="dxa"/>
            <w:hideMark/>
          </w:tcPr>
          <w:p w14:paraId="6DB72ED6" w14:textId="77777777" w:rsidR="00813361" w:rsidRDefault="00021B1C" w:rsidP="00813361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Poor supervision or mentoring</w:t>
            </w:r>
          </w:p>
          <w:p w14:paraId="5610770B" w14:textId="77777777" w:rsidR="00813361" w:rsidRDefault="00021B1C" w:rsidP="00813361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813361">
              <w:rPr>
                <w:rFonts w:asciiTheme="minorHAnsi" w:eastAsiaTheme="minorEastAsia" w:hAnsiTheme="minorHAnsi"/>
                <w:sz w:val="24"/>
                <w:szCs w:val="24"/>
              </w:rPr>
              <w:t>Lack of structured support</w:t>
            </w:r>
          </w:p>
          <w:p w14:paraId="577A208B" w14:textId="77777777" w:rsidR="00813361" w:rsidRDefault="00021B1C" w:rsidP="00813361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813361">
              <w:rPr>
                <w:rFonts w:asciiTheme="minorHAnsi" w:eastAsiaTheme="minorEastAsia" w:hAnsiTheme="minorHAnsi"/>
                <w:sz w:val="24"/>
                <w:szCs w:val="24"/>
              </w:rPr>
              <w:t>Unsafe or unpleasant work environment</w:t>
            </w:r>
          </w:p>
          <w:p w14:paraId="62D7920B" w14:textId="77777777" w:rsidR="00EF09F1" w:rsidRDefault="00021B1C" w:rsidP="00EF09F1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813361">
              <w:rPr>
                <w:rFonts w:asciiTheme="minorHAnsi" w:eastAsiaTheme="minorEastAsia" w:hAnsiTheme="minorHAnsi"/>
                <w:sz w:val="24"/>
                <w:szCs w:val="24"/>
              </w:rPr>
              <w:t>Interpersonal conflicts</w:t>
            </w:r>
          </w:p>
          <w:p w14:paraId="6C6CED5A" w14:textId="121FA3B2" w:rsid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EF09F1">
              <w:rPr>
                <w:rFonts w:asciiTheme="minorHAnsi" w:eastAsiaTheme="minorEastAsia" w:hAnsiTheme="minorHAnsi"/>
                <w:sz w:val="24"/>
                <w:szCs w:val="24"/>
              </w:rPr>
              <w:t>Being treated badly</w:t>
            </w:r>
          </w:p>
          <w:p w14:paraId="45E74B63" w14:textId="4470977E" w:rsid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Employers not providing enough variety or exposure to skil</w:t>
            </w:r>
            <w:r w:rsidR="4397F9BE" w:rsidRPr="007D2CAD">
              <w:rPr>
                <w:rFonts w:asciiTheme="minorHAnsi" w:eastAsiaTheme="minorEastAsia" w:hAnsiTheme="minorHAnsi"/>
                <w:sz w:val="24"/>
                <w:szCs w:val="24"/>
              </w:rPr>
              <w:t>l</w:t>
            </w: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s</w:t>
            </w:r>
          </w:p>
          <w:p w14:paraId="29DA86EA" w14:textId="2C81194B" w:rsidR="00021B1C" w:rsidRPr="007D2CAD" w:rsidRDefault="00AB49F0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color w:val="auto"/>
                <w:sz w:val="24"/>
                <w:szCs w:val="24"/>
              </w:rPr>
              <w:t xml:space="preserve">Poor relationships with employer or </w:t>
            </w:r>
            <w:r w:rsidR="00414F57" w:rsidRPr="007D2CAD">
              <w:rPr>
                <w:rFonts w:asciiTheme="minorHAnsi" w:eastAsiaTheme="minorEastAsia" w:hAnsiTheme="minorHAnsi"/>
                <w:color w:val="auto"/>
                <w:sz w:val="24"/>
                <w:szCs w:val="24"/>
              </w:rPr>
              <w:t>colleagues</w:t>
            </w:r>
          </w:p>
        </w:tc>
      </w:tr>
      <w:tr w:rsidR="00021B1C" w14:paraId="686F3F6E" w14:textId="77777777" w:rsidTr="6EF679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40B93233" w14:textId="77777777" w:rsidR="00021B1C" w:rsidRPr="006403D9" w:rsidRDefault="00021B1C" w:rsidP="6A3CB234">
            <w:pPr>
              <w:pStyle w:val="SITableHeading2"/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</w:pPr>
            <w:r w:rsidRPr="6A3CB234"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  <w:t>Employment Conditions</w:t>
            </w:r>
          </w:p>
        </w:tc>
        <w:tc>
          <w:tcPr>
            <w:tcW w:w="6673" w:type="dxa"/>
            <w:hideMark/>
          </w:tcPr>
          <w:p w14:paraId="1BC79A6F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Low pay / wages</w:t>
            </w:r>
          </w:p>
          <w:p w14:paraId="537C47E0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Delayed or unpaid periods</w:t>
            </w:r>
          </w:p>
          <w:p w14:paraId="61DE3503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Not released from workplace to attend off-job training</w:t>
            </w:r>
          </w:p>
          <w:p w14:paraId="24A4AFB9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Being laid off or made redundant</w:t>
            </w:r>
          </w:p>
          <w:p w14:paraId="3831F605" w14:textId="3F22317C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3D658155">
              <w:rPr>
                <w:rFonts w:asciiTheme="minorHAnsi" w:eastAsiaTheme="minorEastAsia" w:hAnsiTheme="minorHAnsi"/>
                <w:sz w:val="24"/>
                <w:szCs w:val="24"/>
              </w:rPr>
              <w:t>Changes in business conditions (e.g. downturns)</w:t>
            </w:r>
          </w:p>
          <w:p w14:paraId="0101CB45" w14:textId="7EC4944E" w:rsidR="00021B1C" w:rsidRPr="007D2CAD" w:rsidRDefault="5F7A4B87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 xml:space="preserve">Employer </w:t>
            </w:r>
            <w:r w:rsidR="4FF5624C" w:rsidRPr="007D2CAD">
              <w:rPr>
                <w:rFonts w:asciiTheme="minorHAnsi" w:eastAsiaTheme="minorEastAsia" w:hAnsiTheme="minorHAnsi"/>
                <w:sz w:val="24"/>
                <w:szCs w:val="24"/>
              </w:rPr>
              <w:t xml:space="preserve">not rotating apprentice through different tasks or areas of </w:t>
            </w:r>
            <w:r w:rsidR="00E373B6" w:rsidRPr="007D2CAD">
              <w:rPr>
                <w:rFonts w:asciiTheme="minorHAnsi" w:eastAsiaTheme="minorEastAsia" w:hAnsiTheme="minorHAnsi"/>
                <w:sz w:val="24"/>
                <w:szCs w:val="24"/>
              </w:rPr>
              <w:t>work,</w:t>
            </w:r>
            <w:r w:rsidR="4FF5624C" w:rsidRPr="007D2CAD">
              <w:rPr>
                <w:rFonts w:asciiTheme="minorHAnsi" w:eastAsiaTheme="minorEastAsia" w:hAnsiTheme="minorHAnsi"/>
                <w:sz w:val="24"/>
                <w:szCs w:val="24"/>
              </w:rPr>
              <w:t xml:space="preserve"> so they gain full exposure to all parts of the qualification</w:t>
            </w:r>
          </w:p>
          <w:p w14:paraId="68A8F24A" w14:textId="334A3ECC" w:rsidR="00AA4AD7" w:rsidRPr="007D2CAD" w:rsidRDefault="00AA4AD7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Not providing reasonable time during work hours for completing training and study, or assessment activities</w:t>
            </w:r>
          </w:p>
          <w:p w14:paraId="5CF61ACE" w14:textId="4306FDDD" w:rsidR="00021B1C" w:rsidRDefault="00021B1C" w:rsidP="3D658155">
            <w:pPr>
              <w:pStyle w:val="SITableBody"/>
              <w:ind w:left="41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</w:p>
        </w:tc>
      </w:tr>
      <w:tr w:rsidR="00021B1C" w14:paraId="7FFC7C92" w14:textId="77777777" w:rsidTr="6EF679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0EE13CB3" w14:textId="77777777" w:rsidR="00021B1C" w:rsidRPr="006403D9" w:rsidRDefault="00021B1C" w:rsidP="6A3CB234">
            <w:pPr>
              <w:pStyle w:val="SITableHeading2"/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</w:pPr>
            <w:r w:rsidRPr="6A3CB234"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  <w:t>Personal &amp; Learner Factors</w:t>
            </w:r>
          </w:p>
        </w:tc>
        <w:tc>
          <w:tcPr>
            <w:tcW w:w="6673" w:type="dxa"/>
            <w:hideMark/>
          </w:tcPr>
          <w:p w14:paraId="71E25B6B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Change of career goals</w:t>
            </w:r>
          </w:p>
          <w:p w14:paraId="13DA0126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Learner’s health or life circumstances (family, transport, relocation etc.)</w:t>
            </w:r>
          </w:p>
          <w:p w14:paraId="2D6ACA39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Academic or skill deficiencies</w:t>
            </w:r>
          </w:p>
          <w:p w14:paraId="74DCC81E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Low confidence</w:t>
            </w:r>
          </w:p>
          <w:p w14:paraId="54F617D0" w14:textId="422D9D0E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lastRenderedPageBreak/>
              <w:t>Lack of matching of expectations vs reality</w:t>
            </w:r>
          </w:p>
        </w:tc>
      </w:tr>
      <w:tr w:rsidR="00021B1C" w14:paraId="370B0B1E" w14:textId="77777777" w:rsidTr="6EF679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1443F077" w14:textId="77777777" w:rsidR="00021B1C" w:rsidRPr="006403D9" w:rsidRDefault="00021B1C" w:rsidP="6A3CB234">
            <w:pPr>
              <w:pStyle w:val="SITableHeading2"/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</w:pPr>
            <w:r w:rsidRPr="6A3CB234"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  <w:lastRenderedPageBreak/>
              <w:t>Training &amp; RTO-related</w:t>
            </w:r>
          </w:p>
        </w:tc>
        <w:tc>
          <w:tcPr>
            <w:tcW w:w="6673" w:type="dxa"/>
            <w:hideMark/>
          </w:tcPr>
          <w:p w14:paraId="0D6CCFCA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Poor coordination between employer and RTO</w:t>
            </w:r>
          </w:p>
          <w:p w14:paraId="226C2198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Training content not aligned with job</w:t>
            </w:r>
          </w:p>
          <w:p w14:paraId="29519A50" w14:textId="77777777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Lack of feedback</w:t>
            </w:r>
          </w:p>
          <w:p w14:paraId="6B01854A" w14:textId="305B0018" w:rsidR="00021B1C" w:rsidRPr="007D2CAD" w:rsidRDefault="00021B1C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Off-job training that isn’t engaging or that conflicts with job demands</w:t>
            </w:r>
          </w:p>
          <w:p w14:paraId="3A99BD97" w14:textId="21FB8116" w:rsidR="00021B1C" w:rsidRPr="001E7A11" w:rsidRDefault="163B1768" w:rsidP="007D2CAD">
            <w:pPr>
              <w:pStyle w:val="SITableBody"/>
              <w:numPr>
                <w:ilvl w:val="0"/>
                <w:numId w:val="3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/>
                <w:color w:val="auto"/>
                <w:sz w:val="24"/>
                <w:szCs w:val="24"/>
              </w:rPr>
            </w:pP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 xml:space="preserve">Training not </w:t>
            </w:r>
            <w:r w:rsidR="00391354" w:rsidRPr="007D2CAD">
              <w:rPr>
                <w:rFonts w:asciiTheme="minorHAnsi" w:eastAsiaTheme="minorEastAsia" w:hAnsiTheme="minorHAnsi"/>
                <w:sz w:val="24"/>
                <w:szCs w:val="24"/>
              </w:rPr>
              <w:t>st</w:t>
            </w:r>
            <w:r w:rsidRPr="007D2CAD">
              <w:rPr>
                <w:rFonts w:asciiTheme="minorHAnsi" w:eastAsiaTheme="minorEastAsia" w:hAnsiTheme="minorHAnsi"/>
                <w:sz w:val="24"/>
                <w:szCs w:val="24"/>
              </w:rPr>
              <w:t>imulating enough for student</w:t>
            </w:r>
          </w:p>
        </w:tc>
      </w:tr>
      <w:tr w:rsidR="00021B1C" w14:paraId="49CDF1F7" w14:textId="77777777" w:rsidTr="6EF679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9" w:type="dxa"/>
            <w:hideMark/>
          </w:tcPr>
          <w:p w14:paraId="3DB65FC1" w14:textId="77777777" w:rsidR="00021B1C" w:rsidRPr="006403D9" w:rsidRDefault="00021B1C" w:rsidP="6A3CB234">
            <w:pPr>
              <w:pStyle w:val="SITableHeading2"/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</w:pPr>
            <w:r w:rsidRPr="6A3CB234">
              <w:rPr>
                <w:rStyle w:val="Strong"/>
                <w:rFonts w:ascii="Aptos" w:eastAsia="Aptos" w:hAnsi="Aptos" w:cs="Aptos"/>
                <w:color w:val="auto"/>
                <w:sz w:val="24"/>
                <w:szCs w:val="24"/>
              </w:rPr>
              <w:t>External / Structural Factors</w:t>
            </w:r>
          </w:p>
        </w:tc>
        <w:tc>
          <w:tcPr>
            <w:tcW w:w="6673" w:type="dxa"/>
            <w:hideMark/>
          </w:tcPr>
          <w:p w14:paraId="1884517F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Economic changes</w:t>
            </w:r>
          </w:p>
          <w:p w14:paraId="27373B92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Employer capacity</w:t>
            </w:r>
          </w:p>
          <w:p w14:paraId="0CF51FFE" w14:textId="77777777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Policy or funding issues</w:t>
            </w:r>
          </w:p>
          <w:p w14:paraId="32D8FF7B" w14:textId="73D7A7B8" w:rsidR="00021B1C" w:rsidRDefault="00021B1C" w:rsidP="007D2CAD">
            <w:pPr>
              <w:pStyle w:val="SITableBody"/>
              <w:numPr>
                <w:ilvl w:val="0"/>
                <w:numId w:val="3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/>
                <w:sz w:val="24"/>
                <w:szCs w:val="24"/>
              </w:rPr>
            </w:pPr>
            <w:r w:rsidRPr="4254D75E">
              <w:rPr>
                <w:rFonts w:asciiTheme="minorHAnsi" w:eastAsiaTheme="minorEastAsia" w:hAnsiTheme="minorHAnsi"/>
                <w:sz w:val="24"/>
                <w:szCs w:val="24"/>
              </w:rPr>
              <w:t>Geographic isolation; cost of living etc</w:t>
            </w:r>
          </w:p>
        </w:tc>
      </w:tr>
    </w:tbl>
    <w:p w14:paraId="37371AD8" w14:textId="283345F3" w:rsidR="6BE3A2EE" w:rsidRDefault="6BE3A2EE" w:rsidP="4254D75E"/>
    <w:p w14:paraId="7B6B3FE2" w14:textId="42C3EA18" w:rsidR="000515C3" w:rsidRPr="000515C3" w:rsidRDefault="000515C3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Opportunities</w:t>
      </w:r>
      <w:r w:rsidR="1D487C4A" w:rsidRPr="6A3CB234">
        <w:rPr>
          <w:b/>
          <w:bCs/>
          <w:sz w:val="28"/>
          <w:szCs w:val="28"/>
        </w:rPr>
        <w:t>:</w:t>
      </w:r>
    </w:p>
    <w:p w14:paraId="5C7EB6F6" w14:textId="33DA29E7" w:rsidR="000515C3" w:rsidRPr="000515C3" w:rsidRDefault="000515C3" w:rsidP="000515C3">
      <w:r>
        <w:t>The furnishing industry continues to offer strong</w:t>
      </w:r>
      <w:r w:rsidR="775A1948">
        <w:t xml:space="preserve"> and</w:t>
      </w:r>
      <w:r>
        <w:t xml:space="preserve"> steady career opportunities.</w:t>
      </w:r>
      <w:r>
        <w:br/>
        <w:t>Unlike many other industries being reshaped by automation, furnishing and cabinet making will always need skilled hands, creative thinking, and craftsmanship.</w:t>
      </w:r>
    </w:p>
    <w:p w14:paraId="043DF0EF" w14:textId="346CC96E" w:rsidR="000515C3" w:rsidRPr="000515C3" w:rsidRDefault="000515C3" w:rsidP="000515C3">
      <w:r>
        <w:t xml:space="preserve">Technology may change the way work </w:t>
      </w:r>
      <w:r w:rsidR="35D5A15C">
        <w:t>can be</w:t>
      </w:r>
      <w:r>
        <w:t xml:space="preserve"> done</w:t>
      </w:r>
      <w:r w:rsidR="4F6EA77A">
        <w:t xml:space="preserve">, </w:t>
      </w:r>
      <w:r>
        <w:t xml:space="preserve">with more digital design, CNC machinery, and precision tools but it </w:t>
      </w:r>
      <w:r w:rsidR="2A70AD67">
        <w:t xml:space="preserve">can never </w:t>
      </w:r>
      <w:r>
        <w:t>replace the people w</w:t>
      </w:r>
      <w:r w:rsidR="60137984">
        <w:t>ith the skills and</w:t>
      </w:r>
      <w:r>
        <w:t xml:space="preserve"> know how to build, problem-solve, and bring designs to life.</w:t>
      </w:r>
    </w:p>
    <w:p w14:paraId="59595EF5" w14:textId="77777777" w:rsidR="005D5938" w:rsidRDefault="005D5938" w:rsidP="6A3CB234">
      <w:pPr>
        <w:rPr>
          <w:b/>
          <w:bCs/>
          <w:sz w:val="28"/>
          <w:szCs w:val="28"/>
        </w:rPr>
      </w:pPr>
    </w:p>
    <w:p w14:paraId="4E192008" w14:textId="28B632DF" w:rsidR="000515C3" w:rsidRPr="000515C3" w:rsidRDefault="000515C3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A Skilled and Stable Workforce</w:t>
      </w:r>
      <w:r w:rsidR="56B9DAFE" w:rsidRPr="6A3CB234">
        <w:rPr>
          <w:b/>
          <w:bCs/>
          <w:sz w:val="28"/>
          <w:szCs w:val="28"/>
        </w:rPr>
        <w:t>:</w:t>
      </w:r>
    </w:p>
    <w:p w14:paraId="34EEB8A9" w14:textId="32C39019" w:rsidR="000515C3" w:rsidRPr="000515C3" w:rsidRDefault="000515C3" w:rsidP="000515C3">
      <w:r>
        <w:t>The furnishing sector has proven to be one of the most reliable and long-term trades in Australia.</w:t>
      </w:r>
      <w:r>
        <w:br/>
        <w:t xml:space="preserve">There will always be demand for homes, kitchens, furniture, and commercial </w:t>
      </w:r>
      <w:r w:rsidR="069A2B23">
        <w:t>fit outs.</w:t>
      </w:r>
      <w:r>
        <w:t xml:space="preserve"> </w:t>
      </w:r>
      <w:r w:rsidR="60F84EDF">
        <w:t>T</w:t>
      </w:r>
      <w:r>
        <w:t xml:space="preserve">hose projects will always require </w:t>
      </w:r>
      <w:r w:rsidR="599BBBB1">
        <w:t>skilled people</w:t>
      </w:r>
      <w:r>
        <w:t xml:space="preserve"> to make, fit, and finish them properly.</w:t>
      </w:r>
    </w:p>
    <w:p w14:paraId="452EF87F" w14:textId="158397EE" w:rsidR="000515C3" w:rsidRPr="000515C3" w:rsidRDefault="000515C3" w:rsidP="000515C3">
      <w:r>
        <w:t xml:space="preserve">Employers who invest in apprentices today </w:t>
      </w:r>
      <w:r w:rsidR="7D3FA595">
        <w:t>will be</w:t>
      </w:r>
      <w:r>
        <w:t xml:space="preserve"> securing the next generation of skilled tradespeople who will keep th</w:t>
      </w:r>
      <w:r w:rsidR="19FECB68">
        <w:t xml:space="preserve">e </w:t>
      </w:r>
      <w:r>
        <w:t>industry thriving for decades.</w:t>
      </w:r>
    </w:p>
    <w:p w14:paraId="379EA392" w14:textId="18CC8843" w:rsidR="000515C3" w:rsidRPr="000515C3" w:rsidRDefault="000515C3" w:rsidP="000515C3"/>
    <w:p w14:paraId="5BF5F34D" w14:textId="5735053C" w:rsidR="000515C3" w:rsidRPr="000515C3" w:rsidRDefault="000515C3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lastRenderedPageBreak/>
        <w:t>Opportunities for Growth</w:t>
      </w:r>
      <w:r w:rsidR="666A0FED" w:rsidRPr="6A3CB234">
        <w:rPr>
          <w:b/>
          <w:bCs/>
          <w:sz w:val="28"/>
          <w:szCs w:val="28"/>
        </w:rPr>
        <w:t>:</w:t>
      </w:r>
    </w:p>
    <w:p w14:paraId="0583B3F5" w14:textId="77777777" w:rsidR="000515C3" w:rsidRPr="000515C3" w:rsidRDefault="000515C3" w:rsidP="000F0E12">
      <w:r w:rsidRPr="000515C3">
        <w:t>Even as the industry evolves, opportunities are strong for businesses that:</w:t>
      </w:r>
    </w:p>
    <w:p w14:paraId="289B6F75" w14:textId="253E74B5" w:rsidR="000515C3" w:rsidRPr="006863DD" w:rsidRDefault="000515C3" w:rsidP="006863DD">
      <w:pPr>
        <w:pStyle w:val="SIDotpoints"/>
        <w:numPr>
          <w:ilvl w:val="0"/>
          <w:numId w:val="34"/>
        </w:numPr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color w:val="000000" w:themeColor="text1"/>
        </w:rPr>
        <w:t xml:space="preserve">Embrace new tools </w:t>
      </w:r>
      <w:r w:rsidR="1B972B68" w:rsidRPr="006863DD">
        <w:rPr>
          <w:rFonts w:asciiTheme="minorHAnsi" w:hAnsiTheme="minorHAnsi"/>
          <w:color w:val="000000" w:themeColor="text1"/>
        </w:rPr>
        <w:t>and equipment</w:t>
      </w:r>
      <w:r w:rsidRPr="006863DD">
        <w:rPr>
          <w:rFonts w:asciiTheme="minorHAnsi" w:hAnsiTheme="minorHAnsi"/>
          <w:color w:val="000000" w:themeColor="text1"/>
        </w:rPr>
        <w:t>- learning digital design and automated processes to increase accuracy and efficiency.</w:t>
      </w:r>
    </w:p>
    <w:p w14:paraId="6E0FB0D8" w14:textId="5DC6AE1C" w:rsidR="000515C3" w:rsidRPr="006863DD" w:rsidRDefault="000515C3" w:rsidP="006863DD">
      <w:pPr>
        <w:pStyle w:val="SIDotpoints"/>
        <w:numPr>
          <w:ilvl w:val="0"/>
          <w:numId w:val="34"/>
        </w:numPr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color w:val="000000" w:themeColor="text1"/>
        </w:rPr>
        <w:t xml:space="preserve">Invest in people - mentoring apprentices </w:t>
      </w:r>
      <w:r w:rsidR="1BE39535" w:rsidRPr="006863DD">
        <w:rPr>
          <w:rFonts w:asciiTheme="minorHAnsi" w:hAnsiTheme="minorHAnsi"/>
          <w:color w:val="000000" w:themeColor="text1"/>
        </w:rPr>
        <w:t>while</w:t>
      </w:r>
      <w:r w:rsidRPr="006863DD">
        <w:rPr>
          <w:rFonts w:asciiTheme="minorHAnsi" w:hAnsiTheme="minorHAnsi"/>
          <w:color w:val="000000" w:themeColor="text1"/>
        </w:rPr>
        <w:t xml:space="preserve"> creating workplaces that attract and keep good staff</w:t>
      </w:r>
      <w:r w:rsidR="72EEE388" w:rsidRPr="006863DD">
        <w:rPr>
          <w:rFonts w:asciiTheme="minorHAnsi" w:hAnsiTheme="minorHAnsi"/>
          <w:color w:val="000000" w:themeColor="text1"/>
        </w:rPr>
        <w:t xml:space="preserve"> in the workplace.</w:t>
      </w:r>
    </w:p>
    <w:p w14:paraId="6B004A66" w14:textId="4CCC9AF6" w:rsidR="000515C3" w:rsidRPr="006863DD" w:rsidRDefault="000515C3" w:rsidP="006863DD">
      <w:pPr>
        <w:pStyle w:val="SIDotpoints"/>
        <w:numPr>
          <w:ilvl w:val="0"/>
          <w:numId w:val="34"/>
        </w:numPr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color w:val="000000" w:themeColor="text1"/>
        </w:rPr>
        <w:t xml:space="preserve">Focus on quality and </w:t>
      </w:r>
      <w:r w:rsidR="553EF1F0" w:rsidRPr="006863DD">
        <w:rPr>
          <w:rFonts w:asciiTheme="minorHAnsi" w:hAnsiTheme="minorHAnsi"/>
          <w:color w:val="000000" w:themeColor="text1"/>
        </w:rPr>
        <w:t xml:space="preserve">good company </w:t>
      </w:r>
      <w:r w:rsidRPr="006863DD">
        <w:rPr>
          <w:rFonts w:asciiTheme="minorHAnsi" w:hAnsiTheme="minorHAnsi"/>
          <w:color w:val="000000" w:themeColor="text1"/>
        </w:rPr>
        <w:t>reputation - customers value</w:t>
      </w:r>
      <w:r w:rsidR="3C3A6D83" w:rsidRPr="006863DD">
        <w:rPr>
          <w:rFonts w:asciiTheme="minorHAnsi" w:hAnsiTheme="minorHAnsi"/>
          <w:color w:val="000000" w:themeColor="text1"/>
        </w:rPr>
        <w:t xml:space="preserve"> the</w:t>
      </w:r>
      <w:r w:rsidRPr="006863DD">
        <w:rPr>
          <w:rFonts w:asciiTheme="minorHAnsi" w:hAnsiTheme="minorHAnsi"/>
          <w:color w:val="000000" w:themeColor="text1"/>
        </w:rPr>
        <w:t xml:space="preserve"> craftsmanship and Australian-made work.</w:t>
      </w:r>
    </w:p>
    <w:p w14:paraId="053315AE" w14:textId="7F8A0DA1" w:rsidR="000515C3" w:rsidRPr="006863DD" w:rsidRDefault="01CD31EA" w:rsidP="006863DD">
      <w:pPr>
        <w:pStyle w:val="SIDotpoints"/>
        <w:numPr>
          <w:ilvl w:val="0"/>
          <w:numId w:val="34"/>
        </w:numPr>
        <w:tabs>
          <w:tab w:val="left" w:pos="142"/>
        </w:tabs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color w:val="000000" w:themeColor="text1"/>
        </w:rPr>
        <w:t>Think sustainably</w:t>
      </w:r>
      <w:r w:rsidR="769B1205" w:rsidRPr="006863DD">
        <w:rPr>
          <w:rFonts w:asciiTheme="minorHAnsi" w:hAnsiTheme="minorHAnsi"/>
          <w:color w:val="000000" w:themeColor="text1"/>
        </w:rPr>
        <w:t xml:space="preserve"> </w:t>
      </w:r>
      <w:r w:rsidR="5D8CCEAB" w:rsidRPr="006863DD">
        <w:rPr>
          <w:rFonts w:asciiTheme="minorHAnsi" w:hAnsiTheme="minorHAnsi"/>
          <w:color w:val="000000" w:themeColor="text1"/>
        </w:rPr>
        <w:t>-</w:t>
      </w:r>
      <w:r w:rsidR="769B1205" w:rsidRPr="006863DD">
        <w:rPr>
          <w:rFonts w:asciiTheme="minorHAnsi" w:hAnsiTheme="minorHAnsi"/>
          <w:color w:val="000000" w:themeColor="text1"/>
        </w:rPr>
        <w:t xml:space="preserve"> always </w:t>
      </w:r>
      <w:r w:rsidRPr="006863DD">
        <w:rPr>
          <w:rFonts w:asciiTheme="minorHAnsi" w:hAnsiTheme="minorHAnsi"/>
          <w:color w:val="000000" w:themeColor="text1"/>
        </w:rPr>
        <w:t>choos</w:t>
      </w:r>
      <w:r w:rsidR="1DA7DBE1" w:rsidRPr="006863DD">
        <w:rPr>
          <w:rFonts w:asciiTheme="minorHAnsi" w:hAnsiTheme="minorHAnsi"/>
          <w:color w:val="000000" w:themeColor="text1"/>
        </w:rPr>
        <w:t>e</w:t>
      </w:r>
      <w:r w:rsidRPr="006863DD">
        <w:rPr>
          <w:rFonts w:asciiTheme="minorHAnsi" w:hAnsiTheme="minorHAnsi"/>
          <w:color w:val="000000" w:themeColor="text1"/>
        </w:rPr>
        <w:t xml:space="preserve"> materials and methods that reduce waste and</w:t>
      </w:r>
      <w:r w:rsidR="3D4AFA64" w:rsidRPr="006863DD">
        <w:rPr>
          <w:rFonts w:asciiTheme="minorHAnsi" w:hAnsiTheme="minorHAnsi"/>
          <w:color w:val="000000" w:themeColor="text1"/>
        </w:rPr>
        <w:t xml:space="preserve"> </w:t>
      </w:r>
      <w:r w:rsidRPr="006863DD">
        <w:rPr>
          <w:rFonts w:asciiTheme="minorHAnsi" w:hAnsiTheme="minorHAnsi"/>
          <w:color w:val="000000" w:themeColor="text1"/>
        </w:rPr>
        <w:t>appeal to environmentally aware clients.</w:t>
      </w:r>
    </w:p>
    <w:p w14:paraId="3DB36C0A" w14:textId="77777777" w:rsidR="007B754E" w:rsidRPr="006863DD" w:rsidRDefault="007B754E" w:rsidP="006863DD">
      <w:pPr>
        <w:pStyle w:val="SIDotpoints"/>
        <w:numPr>
          <w:ilvl w:val="0"/>
          <w:numId w:val="34"/>
        </w:numPr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color w:val="000000" w:themeColor="text1"/>
        </w:rPr>
        <w:t>Build a workplace where apprentices thrive and choose to stay</w:t>
      </w:r>
    </w:p>
    <w:p w14:paraId="3D8CBAB4" w14:textId="77777777" w:rsidR="00A352CF" w:rsidRDefault="00A352CF" w:rsidP="007B754E">
      <w:pPr>
        <w:pStyle w:val="SIDotpoints"/>
        <w:rPr>
          <w:rFonts w:asciiTheme="minorHAnsi" w:hAnsiTheme="minorHAnsi"/>
        </w:rPr>
      </w:pPr>
    </w:p>
    <w:p w14:paraId="0C54A2A8" w14:textId="77777777" w:rsidR="00A352CF" w:rsidRPr="006863DD" w:rsidRDefault="00A352CF" w:rsidP="00BA75E8">
      <w:pPr>
        <w:pStyle w:val="SIDotpoints"/>
        <w:ind w:left="360" w:firstLine="0"/>
        <w:rPr>
          <w:rFonts w:asciiTheme="minorHAnsi" w:hAnsiTheme="minorHAnsi"/>
          <w:color w:val="000000" w:themeColor="text1"/>
        </w:rPr>
      </w:pPr>
      <w:r w:rsidRPr="006863DD">
        <w:rPr>
          <w:rFonts w:asciiTheme="minorHAnsi" w:hAnsiTheme="minorHAnsi"/>
          <w:b/>
          <w:i/>
          <w:color w:val="000000" w:themeColor="text1"/>
          <w:sz w:val="22"/>
          <w:szCs w:val="22"/>
        </w:rPr>
        <w:t>The goal is simple: stronger apprentices, better business equals a thriving furnishing industry.</w:t>
      </w:r>
    </w:p>
    <w:p w14:paraId="32B2F167" w14:textId="77777777" w:rsidR="00A352CF" w:rsidRPr="007B754E" w:rsidRDefault="00A352CF" w:rsidP="007B754E">
      <w:pPr>
        <w:pStyle w:val="SIDotpoints"/>
        <w:rPr>
          <w:rFonts w:asciiTheme="minorHAnsi" w:hAnsiTheme="minorHAnsi"/>
        </w:rPr>
      </w:pPr>
    </w:p>
    <w:p w14:paraId="4C41F778" w14:textId="37DF86DC" w:rsidR="000515C3" w:rsidRPr="003C3D3F" w:rsidRDefault="008001AD" w:rsidP="000515C3">
      <w:pPr>
        <w:rPr>
          <w:b/>
          <w:color w:val="EE0000"/>
        </w:rPr>
      </w:pPr>
      <w:r w:rsidRPr="003C3D3F">
        <w:rPr>
          <w:b/>
          <w:bCs/>
          <w:color w:val="EE0000"/>
        </w:rPr>
        <w:t xml:space="preserve">PLACEHOLDER: IMAGE/Infographic on industry growth </w:t>
      </w:r>
      <w:r w:rsidR="003C3D3F" w:rsidRPr="003C3D3F">
        <w:rPr>
          <w:b/>
          <w:bCs/>
          <w:color w:val="EE0000"/>
        </w:rPr>
        <w:t xml:space="preserve">– Future of the </w:t>
      </w:r>
      <w:proofErr w:type="spellStart"/>
      <w:r w:rsidR="003C3D3F" w:rsidRPr="003C3D3F">
        <w:rPr>
          <w:b/>
          <w:bCs/>
          <w:color w:val="EE0000"/>
        </w:rPr>
        <w:t>industy</w:t>
      </w:r>
      <w:proofErr w:type="spellEnd"/>
    </w:p>
    <w:p w14:paraId="4A1F94C3" w14:textId="66074C00" w:rsidR="6A527A65" w:rsidRDefault="6A527A65"/>
    <w:p w14:paraId="4D222F20" w14:textId="77777777" w:rsidR="00C75444" w:rsidRDefault="00C75444"/>
    <w:p w14:paraId="174E8DBA" w14:textId="35819D2F" w:rsidR="00047FCD" w:rsidRPr="00047FCD" w:rsidRDefault="00047FCD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The Role of Employers</w:t>
      </w:r>
      <w:r w:rsidR="67C6E1A2" w:rsidRPr="6A3CB234">
        <w:rPr>
          <w:b/>
          <w:bCs/>
          <w:sz w:val="28"/>
          <w:szCs w:val="28"/>
        </w:rPr>
        <w:t>:</w:t>
      </w:r>
    </w:p>
    <w:p w14:paraId="3B9FD796" w14:textId="1B067402" w:rsidR="00047FCD" w:rsidRDefault="00047FCD" w:rsidP="00047FCD">
      <w:r>
        <w:t>Employers are the backbone of the apprenticeship system.</w:t>
      </w:r>
      <w:r>
        <w:br/>
      </w:r>
      <w:r>
        <w:br/>
        <w:t xml:space="preserve">You provide the </w:t>
      </w:r>
      <w:r w:rsidR="30BC3AA4">
        <w:t xml:space="preserve">working </w:t>
      </w:r>
      <w:r>
        <w:t xml:space="preserve">environment where skills are learned, values are built, and future tradespeople are </w:t>
      </w:r>
      <w:r w:rsidR="41D24AFE">
        <w:t>developed</w:t>
      </w:r>
      <w:r>
        <w:t>.</w:t>
      </w:r>
    </w:p>
    <w:p w14:paraId="6C440998" w14:textId="6995E46B" w:rsidR="002A6C1E" w:rsidRPr="00E61719" w:rsidRDefault="002A6C1E" w:rsidP="11903DAA">
      <w:pPr>
        <w:pStyle w:val="NormalWeb"/>
        <w:rPr>
          <w:rFonts w:asciiTheme="minorHAnsi" w:hAnsiTheme="minorHAnsi"/>
        </w:rPr>
      </w:pPr>
      <w:r w:rsidRPr="00E61719">
        <w:rPr>
          <w:rFonts w:asciiTheme="minorHAnsi" w:hAnsiTheme="minorHAnsi"/>
        </w:rPr>
        <w:t>The success of an apprentice depends on more than just the formal training they receive from the Registered Training Organisation (RTO).</w:t>
      </w:r>
    </w:p>
    <w:p w14:paraId="66016949" w14:textId="30700849" w:rsidR="002A6C1E" w:rsidRPr="00E61719" w:rsidRDefault="002A6C1E" w:rsidP="002A6C1E">
      <w:pPr>
        <w:pStyle w:val="NormalWeb"/>
        <w:rPr>
          <w:rFonts w:asciiTheme="minorHAnsi" w:hAnsiTheme="minorHAnsi"/>
        </w:rPr>
      </w:pPr>
      <w:r w:rsidRPr="00E61719">
        <w:rPr>
          <w:rFonts w:asciiTheme="minorHAnsi" w:hAnsiTheme="minorHAnsi"/>
        </w:rPr>
        <w:t xml:space="preserve"> It relies heavily on:</w:t>
      </w:r>
    </w:p>
    <w:p w14:paraId="546A9489" w14:textId="3FB79E5A" w:rsidR="006F7270" w:rsidRPr="00E61719" w:rsidRDefault="002A6C1E" w:rsidP="003C3D3F">
      <w:pPr>
        <w:pStyle w:val="SIDotpoints"/>
        <w:numPr>
          <w:ilvl w:val="0"/>
          <w:numId w:val="35"/>
        </w:numPr>
        <w:rPr>
          <w:rFonts w:asciiTheme="minorHAnsi" w:hAnsiTheme="minorHAnsi"/>
          <w:color w:val="auto"/>
        </w:rPr>
      </w:pPr>
      <w:r w:rsidRPr="00E61719">
        <w:rPr>
          <w:rFonts w:asciiTheme="minorHAnsi" w:hAnsiTheme="minorHAnsi"/>
          <w:color w:val="auto"/>
        </w:rPr>
        <w:t>The quality of mentorship, supervision, and daily guidance.</w:t>
      </w:r>
    </w:p>
    <w:p w14:paraId="7832565A" w14:textId="77777777" w:rsidR="002A6C1E" w:rsidRPr="00E61719" w:rsidRDefault="002A6C1E" w:rsidP="003C3D3F">
      <w:pPr>
        <w:pStyle w:val="SIDotpoints"/>
        <w:numPr>
          <w:ilvl w:val="0"/>
          <w:numId w:val="35"/>
        </w:numPr>
        <w:rPr>
          <w:rFonts w:asciiTheme="minorHAnsi" w:hAnsiTheme="minorHAnsi"/>
          <w:color w:val="auto"/>
        </w:rPr>
      </w:pPr>
      <w:r w:rsidRPr="00E61719">
        <w:rPr>
          <w:rFonts w:asciiTheme="minorHAnsi" w:hAnsiTheme="minorHAnsi"/>
          <w:color w:val="auto"/>
        </w:rPr>
        <w:t>Immediate, practical experience with modern machinery (CNC, CAD/CAM).</w:t>
      </w:r>
    </w:p>
    <w:p w14:paraId="3E27AEFC" w14:textId="77777777" w:rsidR="002A6C1E" w:rsidRPr="00E61719" w:rsidRDefault="002A6C1E" w:rsidP="003C3D3F">
      <w:pPr>
        <w:pStyle w:val="SIDotpoints"/>
        <w:numPr>
          <w:ilvl w:val="0"/>
          <w:numId w:val="35"/>
        </w:numPr>
        <w:rPr>
          <w:rFonts w:asciiTheme="minorHAnsi" w:hAnsiTheme="minorHAnsi"/>
          <w:color w:val="auto"/>
        </w:rPr>
      </w:pPr>
      <w:r w:rsidRPr="00E61719">
        <w:rPr>
          <w:rFonts w:asciiTheme="minorHAnsi" w:hAnsiTheme="minorHAnsi"/>
          <w:color w:val="auto"/>
        </w:rPr>
        <w:t>A positive and supportive workplace culture.</w:t>
      </w:r>
    </w:p>
    <w:p w14:paraId="68FFBE16" w14:textId="3581C5EA" w:rsidR="00EF6D39" w:rsidRPr="00E61719" w:rsidRDefault="002A6C1E" w:rsidP="003C3D3F">
      <w:pPr>
        <w:pStyle w:val="SIDotpoints"/>
        <w:numPr>
          <w:ilvl w:val="0"/>
          <w:numId w:val="35"/>
        </w:numPr>
        <w:rPr>
          <w:rFonts w:asciiTheme="minorHAnsi" w:hAnsiTheme="minorHAnsi"/>
          <w:color w:val="auto"/>
        </w:rPr>
      </w:pPr>
      <w:r w:rsidRPr="00E61719">
        <w:rPr>
          <w:rFonts w:asciiTheme="minorHAnsi" w:hAnsiTheme="minorHAnsi"/>
          <w:color w:val="auto"/>
        </w:rPr>
        <w:t>Your active role in knowledge transfer from experienced and retiring experts.</w:t>
      </w:r>
    </w:p>
    <w:p w14:paraId="42941502" w14:textId="21D38755" w:rsidR="3F7FA39E" w:rsidRPr="00E61719" w:rsidRDefault="3F7FA39E"/>
    <w:p w14:paraId="7E1E661D" w14:textId="6E48AEEC" w:rsidR="00047FCD" w:rsidRPr="009264B5" w:rsidRDefault="00047FCD" w:rsidP="00047FCD">
      <w:pPr>
        <w:rPr>
          <w:b/>
        </w:rPr>
      </w:pPr>
      <w:r w:rsidRPr="009264B5">
        <w:rPr>
          <w:b/>
        </w:rPr>
        <w:lastRenderedPageBreak/>
        <w:t xml:space="preserve">This guide </w:t>
      </w:r>
      <w:r w:rsidR="4B618875" w:rsidRPr="009264B5">
        <w:rPr>
          <w:b/>
        </w:rPr>
        <w:t>can</w:t>
      </w:r>
      <w:r w:rsidRPr="009264B5">
        <w:rPr>
          <w:b/>
        </w:rPr>
        <w:t xml:space="preserve"> help you:</w:t>
      </w:r>
    </w:p>
    <w:p w14:paraId="6F405175" w14:textId="77777777" w:rsidR="00047FCD" w:rsidRPr="009264B5" w:rsidRDefault="00047FCD" w:rsidP="009264B5">
      <w:pPr>
        <w:pStyle w:val="SIDotpoints"/>
        <w:numPr>
          <w:ilvl w:val="0"/>
          <w:numId w:val="36"/>
        </w:numPr>
        <w:rPr>
          <w:rFonts w:asciiTheme="minorHAnsi" w:hAnsiTheme="minorHAnsi"/>
          <w:color w:val="auto"/>
        </w:rPr>
      </w:pPr>
      <w:r w:rsidRPr="009264B5">
        <w:rPr>
          <w:rFonts w:asciiTheme="minorHAnsi" w:hAnsiTheme="minorHAnsi"/>
          <w:color w:val="auto"/>
        </w:rPr>
        <w:t>Understand your responsibilities and get practical support</w:t>
      </w:r>
    </w:p>
    <w:p w14:paraId="5215E76C" w14:textId="3F1BB21B" w:rsidR="00047FCD" w:rsidRPr="009264B5" w:rsidRDefault="00047FCD" w:rsidP="009264B5">
      <w:pPr>
        <w:pStyle w:val="SIDotpoints"/>
        <w:numPr>
          <w:ilvl w:val="0"/>
          <w:numId w:val="36"/>
        </w:numPr>
        <w:rPr>
          <w:rFonts w:asciiTheme="minorHAnsi" w:hAnsiTheme="minorHAnsi"/>
          <w:color w:val="auto"/>
        </w:rPr>
      </w:pPr>
      <w:r w:rsidRPr="009264B5">
        <w:rPr>
          <w:rFonts w:asciiTheme="minorHAnsi" w:hAnsiTheme="minorHAnsi"/>
          <w:color w:val="auto"/>
        </w:rPr>
        <w:t>Learn from real examples and best practice approaches</w:t>
      </w:r>
    </w:p>
    <w:p w14:paraId="3B98DCEC" w14:textId="13123B90" w:rsidR="475B880D" w:rsidRDefault="475B880D" w:rsidP="475B880D">
      <w:pPr>
        <w:pStyle w:val="SIDotpoints"/>
        <w:ind w:left="1080"/>
        <w:rPr>
          <w:rFonts w:asciiTheme="minorHAnsi" w:hAnsiTheme="minorHAnsi"/>
          <w:color w:val="auto"/>
        </w:rPr>
      </w:pPr>
    </w:p>
    <w:p w14:paraId="5760A9C8" w14:textId="1466510E" w:rsidR="00C223D1" w:rsidRPr="00C223D1" w:rsidRDefault="00C223D1" w:rsidP="6A3CB234">
      <w:pPr>
        <w:rPr>
          <w:b/>
          <w:bCs/>
          <w:sz w:val="28"/>
          <w:szCs w:val="28"/>
        </w:rPr>
      </w:pPr>
      <w:r w:rsidRPr="6A3CB234">
        <w:rPr>
          <w:b/>
          <w:bCs/>
          <w:sz w:val="28"/>
          <w:szCs w:val="28"/>
        </w:rPr>
        <w:t>References</w:t>
      </w:r>
      <w:r w:rsidR="62E503E4" w:rsidRPr="28D8CD1E">
        <w:rPr>
          <w:b/>
          <w:bCs/>
          <w:sz w:val="28"/>
          <w:szCs w:val="28"/>
        </w:rPr>
        <w:t>:</w:t>
      </w:r>
    </w:p>
    <w:p w14:paraId="65C87AAF" w14:textId="62633970" w:rsidR="00C223D1" w:rsidRPr="009264B5" w:rsidRDefault="62AAD13C" w:rsidP="00A06260">
      <w:r w:rsidRPr="001C7D5B">
        <w:rPr>
          <w:b/>
          <w:bCs/>
        </w:rPr>
        <w:t>National Centre for Vocational Education Research (NCVER) (2024)</w:t>
      </w:r>
      <w:r w:rsidRPr="009264B5">
        <w:t xml:space="preserve"> </w:t>
      </w:r>
      <w:r w:rsidR="5C99CE56" w:rsidRPr="009264B5">
        <w:t>-</w:t>
      </w:r>
      <w:r w:rsidRPr="009264B5">
        <w:t xml:space="preserve"> </w:t>
      </w:r>
      <w:r w:rsidRPr="00A06260">
        <w:t>Apprentices and Trainees 2024: March Quarter</w:t>
      </w:r>
      <w:r w:rsidRPr="009264B5">
        <w:t xml:space="preserve"> </w:t>
      </w:r>
      <w:r w:rsidR="265E1883" w:rsidRPr="009264B5">
        <w:t xml:space="preserve">- </w:t>
      </w:r>
      <w:r w:rsidRPr="009264B5">
        <w:t>showing current national commencement and completion trends.</w:t>
      </w:r>
    </w:p>
    <w:p w14:paraId="57177080" w14:textId="6E3336E8" w:rsidR="00C223D1" w:rsidRPr="009264B5" w:rsidRDefault="62AAD13C" w:rsidP="00A06260">
      <w:r w:rsidRPr="001050D6">
        <w:rPr>
          <w:b/>
          <w:bCs/>
        </w:rPr>
        <w:t>Australian Bureau of Statistics (ABS) (2024)</w:t>
      </w:r>
      <w:r w:rsidRPr="009264B5">
        <w:t xml:space="preserve"> </w:t>
      </w:r>
      <w:r w:rsidR="721A4D54" w:rsidRPr="009264B5">
        <w:t>-</w:t>
      </w:r>
      <w:r w:rsidRPr="009264B5">
        <w:t xml:space="preserve"> </w:t>
      </w:r>
      <w:r w:rsidRPr="00A06260">
        <w:t>Labour Force, Australia: Detailed</w:t>
      </w:r>
      <w:r w:rsidRPr="009264B5">
        <w:t xml:space="preserve"> </w:t>
      </w:r>
      <w:r w:rsidR="71FB77A3" w:rsidRPr="009264B5">
        <w:t>-</w:t>
      </w:r>
      <w:r w:rsidRPr="009264B5">
        <w:t xml:space="preserve"> providing employment and demographic data across manufacturing and furnishing-related trades.</w:t>
      </w:r>
    </w:p>
    <w:p w14:paraId="3943D20A" w14:textId="10808EF2" w:rsidR="00C223D1" w:rsidRPr="009264B5" w:rsidRDefault="62AAD13C" w:rsidP="00A06260">
      <w:r w:rsidRPr="001050D6">
        <w:rPr>
          <w:b/>
          <w:bCs/>
        </w:rPr>
        <w:t>Department of Employment and Workplace Relations (DEWR) (2025)</w:t>
      </w:r>
      <w:r w:rsidRPr="009264B5">
        <w:t xml:space="preserve"> </w:t>
      </w:r>
      <w:r w:rsidR="03185AB1" w:rsidRPr="009264B5">
        <w:t>-</w:t>
      </w:r>
      <w:r w:rsidRPr="009264B5">
        <w:t xml:space="preserve"> </w:t>
      </w:r>
      <w:r w:rsidRPr="00A06260">
        <w:t>Jobs and Skills Australia Priority Occupation List</w:t>
      </w:r>
      <w:r w:rsidRPr="009264B5">
        <w:t xml:space="preserve"> </w:t>
      </w:r>
      <w:r w:rsidR="6682EF08" w:rsidRPr="009264B5">
        <w:t>-</w:t>
      </w:r>
      <w:r w:rsidRPr="009264B5">
        <w:t xml:space="preserve"> identifying cabinet makers, furniture makers, and upholsterers as priority trades due to ongoing skills shortages.</w:t>
      </w:r>
    </w:p>
    <w:p w14:paraId="79DDA6EA" w14:textId="483A4C53" w:rsidR="00C223D1" w:rsidRPr="009264B5" w:rsidRDefault="62AAD13C" w:rsidP="00A06260">
      <w:r w:rsidRPr="00A06260">
        <w:rPr>
          <w:b/>
          <w:bCs/>
        </w:rPr>
        <w:t>Australian Cabinet and Furniture Association (ACFA) (2025)</w:t>
      </w:r>
      <w:r w:rsidRPr="009264B5">
        <w:t xml:space="preserve"> </w:t>
      </w:r>
      <w:r w:rsidR="4E1110D6" w:rsidRPr="009264B5">
        <w:t>-</w:t>
      </w:r>
      <w:r w:rsidRPr="009264B5">
        <w:t xml:space="preserve"> internal industry</w:t>
      </w:r>
      <w:r w:rsidR="00487A5A">
        <w:t xml:space="preserve"> </w:t>
      </w:r>
      <w:r w:rsidRPr="009264B5">
        <w:t>consultation data from member surveys and apprenticeship engagement feedback</w:t>
      </w:r>
    </w:p>
    <w:p w14:paraId="67CFA582" w14:textId="77777777" w:rsidR="00C223D1" w:rsidRPr="00047FCD" w:rsidRDefault="00C223D1" w:rsidP="00180493">
      <w:pPr>
        <w:pStyle w:val="SIDotpoints"/>
        <w:ind w:firstLine="0"/>
      </w:pPr>
    </w:p>
    <w:p w14:paraId="2A0201D9" w14:textId="21BD3981" w:rsidR="00047FCD" w:rsidRDefault="00047FCD" w:rsidP="00487A5A">
      <w:pPr>
        <w:pStyle w:val="SIDotpoints"/>
        <w:ind w:left="-142" w:firstLine="0"/>
      </w:pPr>
    </w:p>
    <w:sectPr w:rsidR="00047FCD" w:rsidSect="004564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BF29E" w14:textId="77777777" w:rsidR="001E0B55" w:rsidRDefault="001E0B55" w:rsidP="009B3510">
      <w:pPr>
        <w:spacing w:after="0" w:line="240" w:lineRule="auto"/>
      </w:pPr>
      <w:r>
        <w:separator/>
      </w:r>
    </w:p>
  </w:endnote>
  <w:endnote w:type="continuationSeparator" w:id="0">
    <w:p w14:paraId="2AA7D973" w14:textId="77777777" w:rsidR="001E0B55" w:rsidRDefault="001E0B55" w:rsidP="009B35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57BF0" w14:textId="77777777" w:rsidR="009B3510" w:rsidRDefault="009B35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4FDD5" w14:textId="77777777" w:rsidR="009B3510" w:rsidRDefault="009B35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F4814" w14:textId="77777777" w:rsidR="009B3510" w:rsidRDefault="009B35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4808F" w14:textId="77777777" w:rsidR="001E0B55" w:rsidRDefault="001E0B55" w:rsidP="009B3510">
      <w:pPr>
        <w:spacing w:after="0" w:line="240" w:lineRule="auto"/>
      </w:pPr>
      <w:r>
        <w:separator/>
      </w:r>
    </w:p>
  </w:footnote>
  <w:footnote w:type="continuationSeparator" w:id="0">
    <w:p w14:paraId="469DB930" w14:textId="77777777" w:rsidR="001E0B55" w:rsidRDefault="001E0B55" w:rsidP="009B35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146EE" w14:textId="77777777" w:rsidR="009B3510" w:rsidRDefault="009B35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5754405"/>
      <w:docPartObj>
        <w:docPartGallery w:val="Watermarks"/>
        <w:docPartUnique/>
      </w:docPartObj>
    </w:sdtPr>
    <w:sdtEndPr/>
    <w:sdtContent>
      <w:p w14:paraId="63C87A2A" w14:textId="77777777" w:rsidR="009B3510" w:rsidRDefault="00AD57DE">
        <w:pPr>
          <w:pStyle w:val="Header"/>
        </w:pPr>
        <w:r>
          <w:rPr>
            <w:noProof/>
          </w:rPr>
          <w:pict w14:anchorId="484EB2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1F2459" w14:textId="77777777" w:rsidR="009B3510" w:rsidRDefault="009B35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80AB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779F4"/>
    <w:multiLevelType w:val="hybridMultilevel"/>
    <w:tmpl w:val="9FF869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623E5"/>
    <w:multiLevelType w:val="multilevel"/>
    <w:tmpl w:val="9B6E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830CA4"/>
    <w:multiLevelType w:val="multilevel"/>
    <w:tmpl w:val="5E788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846EDE"/>
    <w:multiLevelType w:val="multilevel"/>
    <w:tmpl w:val="1222F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C97172"/>
    <w:multiLevelType w:val="hybridMultilevel"/>
    <w:tmpl w:val="CA5229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D54C24"/>
    <w:multiLevelType w:val="hybridMultilevel"/>
    <w:tmpl w:val="7396DA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626B7"/>
    <w:multiLevelType w:val="hybridMultilevel"/>
    <w:tmpl w:val="425AD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96717"/>
    <w:multiLevelType w:val="multilevel"/>
    <w:tmpl w:val="4032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A24CD1"/>
    <w:multiLevelType w:val="hybridMultilevel"/>
    <w:tmpl w:val="7EDC579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69634F"/>
    <w:multiLevelType w:val="multilevel"/>
    <w:tmpl w:val="412A5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2D28F1"/>
    <w:multiLevelType w:val="hybridMultilevel"/>
    <w:tmpl w:val="FFFFFFFF"/>
    <w:lvl w:ilvl="0" w:tplc="4AF86EF6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3B384FAE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1A988AD6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CC7E989C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B22FAFE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7F4CE4CE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31BA3C3A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98449AA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790C4EAC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2" w15:restartNumberingAfterBreak="0">
    <w:nsid w:val="18744256"/>
    <w:multiLevelType w:val="multilevel"/>
    <w:tmpl w:val="3A46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C612EE"/>
    <w:multiLevelType w:val="hybridMultilevel"/>
    <w:tmpl w:val="F560293A"/>
    <w:lvl w:ilvl="0" w:tplc="E3C4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0C6F4A"/>
    <w:multiLevelType w:val="multilevel"/>
    <w:tmpl w:val="8A4E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B925EC"/>
    <w:multiLevelType w:val="hybridMultilevel"/>
    <w:tmpl w:val="1BF0299E"/>
    <w:lvl w:ilvl="0" w:tplc="0C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59E64A7"/>
    <w:multiLevelType w:val="multilevel"/>
    <w:tmpl w:val="3AE2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E62BB3"/>
    <w:multiLevelType w:val="multilevel"/>
    <w:tmpl w:val="61E4F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662DA9"/>
    <w:multiLevelType w:val="multilevel"/>
    <w:tmpl w:val="AD2CE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297645"/>
    <w:multiLevelType w:val="multilevel"/>
    <w:tmpl w:val="0824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A5756"/>
    <w:multiLevelType w:val="multilevel"/>
    <w:tmpl w:val="A9A25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BD7A52"/>
    <w:multiLevelType w:val="hybridMultilevel"/>
    <w:tmpl w:val="E97E4E4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07C34CF"/>
    <w:multiLevelType w:val="hybridMultilevel"/>
    <w:tmpl w:val="7116BC62"/>
    <w:lvl w:ilvl="0" w:tplc="E3C4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22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7604D"/>
    <w:multiLevelType w:val="multilevel"/>
    <w:tmpl w:val="6BE0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942895"/>
    <w:multiLevelType w:val="multilevel"/>
    <w:tmpl w:val="13666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5F05201"/>
    <w:multiLevelType w:val="hybridMultilevel"/>
    <w:tmpl w:val="94063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5C7349"/>
    <w:multiLevelType w:val="hybridMultilevel"/>
    <w:tmpl w:val="10D631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21BFB3"/>
    <w:multiLevelType w:val="hybridMultilevel"/>
    <w:tmpl w:val="FFFFFFFF"/>
    <w:lvl w:ilvl="0" w:tplc="A4A8368E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6638D31C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84DA3998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EC02C418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61FC7F16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D5C0E064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D7D83CF8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4FC83044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F8685380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8" w15:restartNumberingAfterBreak="0">
    <w:nsid w:val="4A5A1909"/>
    <w:multiLevelType w:val="multilevel"/>
    <w:tmpl w:val="330A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0E6711"/>
    <w:multiLevelType w:val="hybridMultilevel"/>
    <w:tmpl w:val="05A85CB4"/>
    <w:lvl w:ilvl="0" w:tplc="E3C45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40A159"/>
    <w:multiLevelType w:val="hybridMultilevel"/>
    <w:tmpl w:val="FFFFFFFF"/>
    <w:lvl w:ilvl="0" w:tplc="98D22FFA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E8849696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60CE4EFE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B862FBD2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2BD02D8A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5538B19E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7A6AD5E4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4306A0A0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A63CCEB4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1" w15:restartNumberingAfterBreak="0">
    <w:nsid w:val="61524E29"/>
    <w:multiLevelType w:val="multilevel"/>
    <w:tmpl w:val="7604F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CAF615"/>
    <w:multiLevelType w:val="hybridMultilevel"/>
    <w:tmpl w:val="FFFFFFFF"/>
    <w:lvl w:ilvl="0" w:tplc="05EA2FEC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D30AC2BC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27EABF52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58460866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7FA2F89E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7DE8B86A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2B0026E6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B9B27B34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6147350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3" w15:restartNumberingAfterBreak="0">
    <w:nsid w:val="6503717F"/>
    <w:multiLevelType w:val="hybridMultilevel"/>
    <w:tmpl w:val="BC84CF1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5B93D56"/>
    <w:multiLevelType w:val="hybridMultilevel"/>
    <w:tmpl w:val="9B56C8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51070E"/>
    <w:multiLevelType w:val="hybridMultilevel"/>
    <w:tmpl w:val="EF6202CC"/>
    <w:lvl w:ilvl="0" w:tplc="4E6C08C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69DFED"/>
    <w:multiLevelType w:val="hybridMultilevel"/>
    <w:tmpl w:val="FFFFFFFF"/>
    <w:lvl w:ilvl="0" w:tplc="A44C8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AF6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6C3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860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DC1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6496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A2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DAF7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E297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8332D"/>
    <w:multiLevelType w:val="multilevel"/>
    <w:tmpl w:val="11C02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9D7EEB"/>
    <w:multiLevelType w:val="hybridMultilevel"/>
    <w:tmpl w:val="99ACCB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D31B1D"/>
    <w:multiLevelType w:val="hybridMultilevel"/>
    <w:tmpl w:val="9FA284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27B82"/>
    <w:multiLevelType w:val="multilevel"/>
    <w:tmpl w:val="FC842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0732298">
    <w:abstractNumId w:val="30"/>
  </w:num>
  <w:num w:numId="2" w16cid:durableId="1117793508">
    <w:abstractNumId w:val="11"/>
  </w:num>
  <w:num w:numId="3" w16cid:durableId="1148204558">
    <w:abstractNumId w:val="27"/>
  </w:num>
  <w:num w:numId="4" w16cid:durableId="1203245488">
    <w:abstractNumId w:val="29"/>
  </w:num>
  <w:num w:numId="5" w16cid:durableId="1213082070">
    <w:abstractNumId w:val="20"/>
  </w:num>
  <w:num w:numId="6" w16cid:durableId="1224293347">
    <w:abstractNumId w:val="4"/>
  </w:num>
  <w:num w:numId="7" w16cid:durableId="1395162821">
    <w:abstractNumId w:val="3"/>
  </w:num>
  <w:num w:numId="8" w16cid:durableId="1438673497">
    <w:abstractNumId w:val="12"/>
  </w:num>
  <w:num w:numId="9" w16cid:durableId="1861817382">
    <w:abstractNumId w:val="24"/>
  </w:num>
  <w:num w:numId="10" w16cid:durableId="1903253176">
    <w:abstractNumId w:val="7"/>
  </w:num>
  <w:num w:numId="11" w16cid:durableId="1934436673">
    <w:abstractNumId w:val="8"/>
  </w:num>
  <w:num w:numId="12" w16cid:durableId="221404944">
    <w:abstractNumId w:val="17"/>
  </w:num>
  <w:num w:numId="13" w16cid:durableId="256406061">
    <w:abstractNumId w:val="38"/>
  </w:num>
  <w:num w:numId="14" w16cid:durableId="279266895">
    <w:abstractNumId w:val="32"/>
  </w:num>
  <w:num w:numId="15" w16cid:durableId="424880652">
    <w:abstractNumId w:val="16"/>
  </w:num>
  <w:num w:numId="16" w16cid:durableId="44111758">
    <w:abstractNumId w:val="19"/>
  </w:num>
  <w:num w:numId="17" w16cid:durableId="450055624">
    <w:abstractNumId w:val="40"/>
  </w:num>
  <w:num w:numId="18" w16cid:durableId="4525429">
    <w:abstractNumId w:val="31"/>
  </w:num>
  <w:num w:numId="19" w16cid:durableId="492987913">
    <w:abstractNumId w:val="18"/>
  </w:num>
  <w:num w:numId="20" w16cid:durableId="502010904">
    <w:abstractNumId w:val="13"/>
  </w:num>
  <w:num w:numId="21" w16cid:durableId="517542483">
    <w:abstractNumId w:val="37"/>
  </w:num>
  <w:num w:numId="22" w16cid:durableId="539249113">
    <w:abstractNumId w:val="36"/>
  </w:num>
  <w:num w:numId="23" w16cid:durableId="594167579">
    <w:abstractNumId w:val="22"/>
  </w:num>
  <w:num w:numId="24" w16cid:durableId="65300216">
    <w:abstractNumId w:val="23"/>
  </w:num>
  <w:num w:numId="25" w16cid:durableId="772357692">
    <w:abstractNumId w:val="10"/>
  </w:num>
  <w:num w:numId="26" w16cid:durableId="783888499">
    <w:abstractNumId w:val="28"/>
  </w:num>
  <w:num w:numId="27" w16cid:durableId="868950652">
    <w:abstractNumId w:val="21"/>
  </w:num>
  <w:num w:numId="28" w16cid:durableId="893272792">
    <w:abstractNumId w:val="35"/>
  </w:num>
  <w:num w:numId="29" w16cid:durableId="900939633">
    <w:abstractNumId w:val="14"/>
  </w:num>
  <w:num w:numId="30" w16cid:durableId="910820990">
    <w:abstractNumId w:val="2"/>
  </w:num>
  <w:num w:numId="31" w16cid:durableId="1205479804">
    <w:abstractNumId w:val="6"/>
  </w:num>
  <w:num w:numId="32" w16cid:durableId="897328674">
    <w:abstractNumId w:val="15"/>
  </w:num>
  <w:num w:numId="33" w16cid:durableId="818614653">
    <w:abstractNumId w:val="5"/>
  </w:num>
  <w:num w:numId="34" w16cid:durableId="1457945414">
    <w:abstractNumId w:val="1"/>
  </w:num>
  <w:num w:numId="35" w16cid:durableId="1248928061">
    <w:abstractNumId w:val="33"/>
  </w:num>
  <w:num w:numId="36" w16cid:durableId="620039587">
    <w:abstractNumId w:val="34"/>
  </w:num>
  <w:num w:numId="37" w16cid:durableId="1633555165">
    <w:abstractNumId w:val="0"/>
  </w:num>
  <w:num w:numId="38" w16cid:durableId="943002479">
    <w:abstractNumId w:val="25"/>
  </w:num>
  <w:num w:numId="39" w16cid:durableId="70323759">
    <w:abstractNumId w:val="26"/>
  </w:num>
  <w:num w:numId="40" w16cid:durableId="1352410136">
    <w:abstractNumId w:val="39"/>
  </w:num>
  <w:num w:numId="41" w16cid:durableId="88220929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FCD"/>
    <w:rsid w:val="00006D3F"/>
    <w:rsid w:val="000079D2"/>
    <w:rsid w:val="00017564"/>
    <w:rsid w:val="00021B1C"/>
    <w:rsid w:val="00022E5F"/>
    <w:rsid w:val="00024122"/>
    <w:rsid w:val="00025832"/>
    <w:rsid w:val="00032972"/>
    <w:rsid w:val="00035BEB"/>
    <w:rsid w:val="00037879"/>
    <w:rsid w:val="00040CA7"/>
    <w:rsid w:val="0004799A"/>
    <w:rsid w:val="00047FCD"/>
    <w:rsid w:val="000515C3"/>
    <w:rsid w:val="00060765"/>
    <w:rsid w:val="00066499"/>
    <w:rsid w:val="00066B0D"/>
    <w:rsid w:val="00069C91"/>
    <w:rsid w:val="00080842"/>
    <w:rsid w:val="0008216D"/>
    <w:rsid w:val="0008421F"/>
    <w:rsid w:val="00087A93"/>
    <w:rsid w:val="000921C6"/>
    <w:rsid w:val="0009479C"/>
    <w:rsid w:val="000956B0"/>
    <w:rsid w:val="00097084"/>
    <w:rsid w:val="000A4214"/>
    <w:rsid w:val="000A6811"/>
    <w:rsid w:val="000B07AB"/>
    <w:rsid w:val="000B2C8E"/>
    <w:rsid w:val="000C33B3"/>
    <w:rsid w:val="000D3AF5"/>
    <w:rsid w:val="000E026A"/>
    <w:rsid w:val="000E2EB8"/>
    <w:rsid w:val="000E3A9D"/>
    <w:rsid w:val="000E7A7E"/>
    <w:rsid w:val="000F0E12"/>
    <w:rsid w:val="000F12E9"/>
    <w:rsid w:val="000F2DC1"/>
    <w:rsid w:val="001043C8"/>
    <w:rsid w:val="001050D6"/>
    <w:rsid w:val="0010571D"/>
    <w:rsid w:val="00110D4F"/>
    <w:rsid w:val="00114F26"/>
    <w:rsid w:val="001155F7"/>
    <w:rsid w:val="001234D3"/>
    <w:rsid w:val="00131BB4"/>
    <w:rsid w:val="0014252F"/>
    <w:rsid w:val="00150D52"/>
    <w:rsid w:val="00153D05"/>
    <w:rsid w:val="0016133C"/>
    <w:rsid w:val="00161371"/>
    <w:rsid w:val="00161801"/>
    <w:rsid w:val="001638F1"/>
    <w:rsid w:val="001702B0"/>
    <w:rsid w:val="0017047F"/>
    <w:rsid w:val="0017688D"/>
    <w:rsid w:val="00180493"/>
    <w:rsid w:val="0018551F"/>
    <w:rsid w:val="0019067F"/>
    <w:rsid w:val="001932E4"/>
    <w:rsid w:val="00195BCE"/>
    <w:rsid w:val="001A1AB0"/>
    <w:rsid w:val="001A4D5B"/>
    <w:rsid w:val="001A6187"/>
    <w:rsid w:val="001B24E8"/>
    <w:rsid w:val="001C07E7"/>
    <w:rsid w:val="001C5A2C"/>
    <w:rsid w:val="001C7D5B"/>
    <w:rsid w:val="001D2435"/>
    <w:rsid w:val="001D56ED"/>
    <w:rsid w:val="001E0B55"/>
    <w:rsid w:val="001E2783"/>
    <w:rsid w:val="001E683F"/>
    <w:rsid w:val="001E7A11"/>
    <w:rsid w:val="001F138D"/>
    <w:rsid w:val="001F67A2"/>
    <w:rsid w:val="00203571"/>
    <w:rsid w:val="002048A9"/>
    <w:rsid w:val="002148DF"/>
    <w:rsid w:val="002230A4"/>
    <w:rsid w:val="00223356"/>
    <w:rsid w:val="00230761"/>
    <w:rsid w:val="0024030B"/>
    <w:rsid w:val="002403B2"/>
    <w:rsid w:val="00252661"/>
    <w:rsid w:val="00275B38"/>
    <w:rsid w:val="00282654"/>
    <w:rsid w:val="002A45A1"/>
    <w:rsid w:val="002A5497"/>
    <w:rsid w:val="002A6957"/>
    <w:rsid w:val="002A6C1E"/>
    <w:rsid w:val="002B1B73"/>
    <w:rsid w:val="002C0376"/>
    <w:rsid w:val="002C16C5"/>
    <w:rsid w:val="002C4A85"/>
    <w:rsid w:val="002C71A5"/>
    <w:rsid w:val="002D1B71"/>
    <w:rsid w:val="002D3482"/>
    <w:rsid w:val="002D5C33"/>
    <w:rsid w:val="002E0117"/>
    <w:rsid w:val="002E56B4"/>
    <w:rsid w:val="002E588E"/>
    <w:rsid w:val="002E78CB"/>
    <w:rsid w:val="002E7F6C"/>
    <w:rsid w:val="00305091"/>
    <w:rsid w:val="00310F28"/>
    <w:rsid w:val="003143D5"/>
    <w:rsid w:val="00316840"/>
    <w:rsid w:val="00335E66"/>
    <w:rsid w:val="00346DB3"/>
    <w:rsid w:val="003504A7"/>
    <w:rsid w:val="00350B38"/>
    <w:rsid w:val="00351819"/>
    <w:rsid w:val="003577EC"/>
    <w:rsid w:val="00374564"/>
    <w:rsid w:val="00375E6C"/>
    <w:rsid w:val="00383FAE"/>
    <w:rsid w:val="00387044"/>
    <w:rsid w:val="00387302"/>
    <w:rsid w:val="00391354"/>
    <w:rsid w:val="0039424C"/>
    <w:rsid w:val="003A172C"/>
    <w:rsid w:val="003B3344"/>
    <w:rsid w:val="003B58A9"/>
    <w:rsid w:val="003C1075"/>
    <w:rsid w:val="003C3D3F"/>
    <w:rsid w:val="003C7CED"/>
    <w:rsid w:val="003D54F8"/>
    <w:rsid w:val="003E4DA9"/>
    <w:rsid w:val="003E4EF5"/>
    <w:rsid w:val="00414F57"/>
    <w:rsid w:val="004306A7"/>
    <w:rsid w:val="004327C9"/>
    <w:rsid w:val="0043431F"/>
    <w:rsid w:val="00436438"/>
    <w:rsid w:val="00437907"/>
    <w:rsid w:val="00442D85"/>
    <w:rsid w:val="004564B5"/>
    <w:rsid w:val="00456679"/>
    <w:rsid w:val="004579E6"/>
    <w:rsid w:val="00464A53"/>
    <w:rsid w:val="004674B5"/>
    <w:rsid w:val="004719BF"/>
    <w:rsid w:val="00471A23"/>
    <w:rsid w:val="0048498E"/>
    <w:rsid w:val="00484F8B"/>
    <w:rsid w:val="00487A5A"/>
    <w:rsid w:val="00490B90"/>
    <w:rsid w:val="004914F9"/>
    <w:rsid w:val="0049647A"/>
    <w:rsid w:val="004A0E77"/>
    <w:rsid w:val="004A1B63"/>
    <w:rsid w:val="004A75EB"/>
    <w:rsid w:val="004B0955"/>
    <w:rsid w:val="004C2CD7"/>
    <w:rsid w:val="004C7A00"/>
    <w:rsid w:val="004D0813"/>
    <w:rsid w:val="004D1F22"/>
    <w:rsid w:val="004D5B73"/>
    <w:rsid w:val="004D6395"/>
    <w:rsid w:val="004E2285"/>
    <w:rsid w:val="004E3EC4"/>
    <w:rsid w:val="004F095A"/>
    <w:rsid w:val="004F2A54"/>
    <w:rsid w:val="004F321C"/>
    <w:rsid w:val="004F3BCD"/>
    <w:rsid w:val="005059AB"/>
    <w:rsid w:val="00511B63"/>
    <w:rsid w:val="005217E8"/>
    <w:rsid w:val="0052433E"/>
    <w:rsid w:val="0052640A"/>
    <w:rsid w:val="00530827"/>
    <w:rsid w:val="0053350C"/>
    <w:rsid w:val="00551884"/>
    <w:rsid w:val="00552117"/>
    <w:rsid w:val="005567E7"/>
    <w:rsid w:val="00557AB9"/>
    <w:rsid w:val="00560BF7"/>
    <w:rsid w:val="0056283A"/>
    <w:rsid w:val="00563A19"/>
    <w:rsid w:val="00566C5F"/>
    <w:rsid w:val="00567C53"/>
    <w:rsid w:val="00595505"/>
    <w:rsid w:val="0059638A"/>
    <w:rsid w:val="005976AD"/>
    <w:rsid w:val="005A6517"/>
    <w:rsid w:val="005A6C49"/>
    <w:rsid w:val="005C2730"/>
    <w:rsid w:val="005C6FE0"/>
    <w:rsid w:val="005D00B5"/>
    <w:rsid w:val="005D5938"/>
    <w:rsid w:val="00601000"/>
    <w:rsid w:val="00603463"/>
    <w:rsid w:val="0060441F"/>
    <w:rsid w:val="00605518"/>
    <w:rsid w:val="0061158B"/>
    <w:rsid w:val="00621212"/>
    <w:rsid w:val="0063677B"/>
    <w:rsid w:val="00651D48"/>
    <w:rsid w:val="00652CB3"/>
    <w:rsid w:val="00653B88"/>
    <w:rsid w:val="00657479"/>
    <w:rsid w:val="00657FE4"/>
    <w:rsid w:val="0066613E"/>
    <w:rsid w:val="00675AD2"/>
    <w:rsid w:val="006762DF"/>
    <w:rsid w:val="006863DD"/>
    <w:rsid w:val="00687024"/>
    <w:rsid w:val="00691313"/>
    <w:rsid w:val="006935B6"/>
    <w:rsid w:val="00693B57"/>
    <w:rsid w:val="00693C76"/>
    <w:rsid w:val="006A0051"/>
    <w:rsid w:val="006A4101"/>
    <w:rsid w:val="006B0FC5"/>
    <w:rsid w:val="006B56B7"/>
    <w:rsid w:val="006B612C"/>
    <w:rsid w:val="006E1242"/>
    <w:rsid w:val="006E2A9A"/>
    <w:rsid w:val="006E4A69"/>
    <w:rsid w:val="006E6EA2"/>
    <w:rsid w:val="006E6F13"/>
    <w:rsid w:val="006F7270"/>
    <w:rsid w:val="0070438A"/>
    <w:rsid w:val="00715F80"/>
    <w:rsid w:val="00716819"/>
    <w:rsid w:val="007209FC"/>
    <w:rsid w:val="007232A5"/>
    <w:rsid w:val="007242B5"/>
    <w:rsid w:val="00725DD0"/>
    <w:rsid w:val="007266A2"/>
    <w:rsid w:val="007272DA"/>
    <w:rsid w:val="007577E4"/>
    <w:rsid w:val="007763BA"/>
    <w:rsid w:val="00776C08"/>
    <w:rsid w:val="00777F37"/>
    <w:rsid w:val="00793A46"/>
    <w:rsid w:val="00796676"/>
    <w:rsid w:val="00796E9D"/>
    <w:rsid w:val="007A10B6"/>
    <w:rsid w:val="007A563A"/>
    <w:rsid w:val="007B3240"/>
    <w:rsid w:val="007B5180"/>
    <w:rsid w:val="007B754E"/>
    <w:rsid w:val="007C0E56"/>
    <w:rsid w:val="007D2CAD"/>
    <w:rsid w:val="007D6B05"/>
    <w:rsid w:val="007E0886"/>
    <w:rsid w:val="007E0956"/>
    <w:rsid w:val="007F441E"/>
    <w:rsid w:val="008001AD"/>
    <w:rsid w:val="00800F43"/>
    <w:rsid w:val="008020D0"/>
    <w:rsid w:val="00813361"/>
    <w:rsid w:val="00817512"/>
    <w:rsid w:val="00821FAB"/>
    <w:rsid w:val="0082697A"/>
    <w:rsid w:val="008439B3"/>
    <w:rsid w:val="00843FAD"/>
    <w:rsid w:val="008463E1"/>
    <w:rsid w:val="00852340"/>
    <w:rsid w:val="008639FD"/>
    <w:rsid w:val="008837FE"/>
    <w:rsid w:val="008879C4"/>
    <w:rsid w:val="008905DC"/>
    <w:rsid w:val="00890913"/>
    <w:rsid w:val="008913B1"/>
    <w:rsid w:val="0089456F"/>
    <w:rsid w:val="008963A7"/>
    <w:rsid w:val="008A384E"/>
    <w:rsid w:val="008A4884"/>
    <w:rsid w:val="008A5C42"/>
    <w:rsid w:val="008B22D1"/>
    <w:rsid w:val="008B3637"/>
    <w:rsid w:val="008C4346"/>
    <w:rsid w:val="008D0F2D"/>
    <w:rsid w:val="008E144E"/>
    <w:rsid w:val="008E268A"/>
    <w:rsid w:val="008E7191"/>
    <w:rsid w:val="008F1FAD"/>
    <w:rsid w:val="009033FF"/>
    <w:rsid w:val="00910264"/>
    <w:rsid w:val="00914E4D"/>
    <w:rsid w:val="0091742F"/>
    <w:rsid w:val="009264B5"/>
    <w:rsid w:val="00927D59"/>
    <w:rsid w:val="009321C0"/>
    <w:rsid w:val="00944D10"/>
    <w:rsid w:val="00946CE6"/>
    <w:rsid w:val="009473D5"/>
    <w:rsid w:val="0094757F"/>
    <w:rsid w:val="00962170"/>
    <w:rsid w:val="00966AE6"/>
    <w:rsid w:val="00967C71"/>
    <w:rsid w:val="009771AB"/>
    <w:rsid w:val="0097742A"/>
    <w:rsid w:val="00983304"/>
    <w:rsid w:val="00985090"/>
    <w:rsid w:val="00991AE3"/>
    <w:rsid w:val="009A5768"/>
    <w:rsid w:val="009B3510"/>
    <w:rsid w:val="009B6BE7"/>
    <w:rsid w:val="009C4C46"/>
    <w:rsid w:val="009D1DD3"/>
    <w:rsid w:val="009E40A7"/>
    <w:rsid w:val="009E509E"/>
    <w:rsid w:val="00A00F6C"/>
    <w:rsid w:val="00A03E60"/>
    <w:rsid w:val="00A04AC4"/>
    <w:rsid w:val="00A06260"/>
    <w:rsid w:val="00A071D2"/>
    <w:rsid w:val="00A16D1D"/>
    <w:rsid w:val="00A22F0F"/>
    <w:rsid w:val="00A23544"/>
    <w:rsid w:val="00A24AE5"/>
    <w:rsid w:val="00A352CF"/>
    <w:rsid w:val="00A37A55"/>
    <w:rsid w:val="00A43AA1"/>
    <w:rsid w:val="00A45AFD"/>
    <w:rsid w:val="00A472EC"/>
    <w:rsid w:val="00A551BA"/>
    <w:rsid w:val="00A605A0"/>
    <w:rsid w:val="00A60871"/>
    <w:rsid w:val="00A622E3"/>
    <w:rsid w:val="00A6631B"/>
    <w:rsid w:val="00A72ABE"/>
    <w:rsid w:val="00A749F3"/>
    <w:rsid w:val="00A76989"/>
    <w:rsid w:val="00A770F3"/>
    <w:rsid w:val="00A8096F"/>
    <w:rsid w:val="00A815D5"/>
    <w:rsid w:val="00A83504"/>
    <w:rsid w:val="00A84659"/>
    <w:rsid w:val="00A85C12"/>
    <w:rsid w:val="00A96E32"/>
    <w:rsid w:val="00AA052F"/>
    <w:rsid w:val="00AA1511"/>
    <w:rsid w:val="00AA4AD7"/>
    <w:rsid w:val="00AA4C79"/>
    <w:rsid w:val="00AB41E4"/>
    <w:rsid w:val="00AB49F0"/>
    <w:rsid w:val="00AB5665"/>
    <w:rsid w:val="00AC16EE"/>
    <w:rsid w:val="00AD129C"/>
    <w:rsid w:val="00AD57DE"/>
    <w:rsid w:val="00AF26C6"/>
    <w:rsid w:val="00AF2B11"/>
    <w:rsid w:val="00AF2B7C"/>
    <w:rsid w:val="00AF5F94"/>
    <w:rsid w:val="00B05679"/>
    <w:rsid w:val="00B123F5"/>
    <w:rsid w:val="00B20B7A"/>
    <w:rsid w:val="00B268A1"/>
    <w:rsid w:val="00B31B76"/>
    <w:rsid w:val="00B31C2C"/>
    <w:rsid w:val="00B4104B"/>
    <w:rsid w:val="00B43271"/>
    <w:rsid w:val="00B43996"/>
    <w:rsid w:val="00B44AA7"/>
    <w:rsid w:val="00B47191"/>
    <w:rsid w:val="00B53467"/>
    <w:rsid w:val="00B5563F"/>
    <w:rsid w:val="00B65FA6"/>
    <w:rsid w:val="00B66934"/>
    <w:rsid w:val="00B764E3"/>
    <w:rsid w:val="00B76CBC"/>
    <w:rsid w:val="00B8418E"/>
    <w:rsid w:val="00B94AD4"/>
    <w:rsid w:val="00BA75E8"/>
    <w:rsid w:val="00BB0944"/>
    <w:rsid w:val="00BB13BD"/>
    <w:rsid w:val="00BB1F48"/>
    <w:rsid w:val="00BB6715"/>
    <w:rsid w:val="00BC1E69"/>
    <w:rsid w:val="00BC71F5"/>
    <w:rsid w:val="00BD0A91"/>
    <w:rsid w:val="00BD66F9"/>
    <w:rsid w:val="00BE0C82"/>
    <w:rsid w:val="00BE4859"/>
    <w:rsid w:val="00BE7B44"/>
    <w:rsid w:val="00BF56F5"/>
    <w:rsid w:val="00C05977"/>
    <w:rsid w:val="00C11484"/>
    <w:rsid w:val="00C14511"/>
    <w:rsid w:val="00C156A2"/>
    <w:rsid w:val="00C223D1"/>
    <w:rsid w:val="00C31AD4"/>
    <w:rsid w:val="00C46E70"/>
    <w:rsid w:val="00C51400"/>
    <w:rsid w:val="00C56397"/>
    <w:rsid w:val="00C57553"/>
    <w:rsid w:val="00C611D0"/>
    <w:rsid w:val="00C70226"/>
    <w:rsid w:val="00C73FC7"/>
    <w:rsid w:val="00C7416E"/>
    <w:rsid w:val="00C75444"/>
    <w:rsid w:val="00C8740F"/>
    <w:rsid w:val="00C922AF"/>
    <w:rsid w:val="00CA7666"/>
    <w:rsid w:val="00CB2BAF"/>
    <w:rsid w:val="00CB4EDD"/>
    <w:rsid w:val="00CB5A58"/>
    <w:rsid w:val="00CB68B3"/>
    <w:rsid w:val="00CB7024"/>
    <w:rsid w:val="00CC45B4"/>
    <w:rsid w:val="00CE63C1"/>
    <w:rsid w:val="00CE71BF"/>
    <w:rsid w:val="00CF4F46"/>
    <w:rsid w:val="00D02AE5"/>
    <w:rsid w:val="00D03DC3"/>
    <w:rsid w:val="00D0652C"/>
    <w:rsid w:val="00D14689"/>
    <w:rsid w:val="00D1749F"/>
    <w:rsid w:val="00D21052"/>
    <w:rsid w:val="00D23DEC"/>
    <w:rsid w:val="00D23EBE"/>
    <w:rsid w:val="00D2561D"/>
    <w:rsid w:val="00D278AE"/>
    <w:rsid w:val="00D27BB1"/>
    <w:rsid w:val="00D32684"/>
    <w:rsid w:val="00D367F4"/>
    <w:rsid w:val="00D400AC"/>
    <w:rsid w:val="00D4117B"/>
    <w:rsid w:val="00D712D0"/>
    <w:rsid w:val="00D748B8"/>
    <w:rsid w:val="00D779AA"/>
    <w:rsid w:val="00D80B86"/>
    <w:rsid w:val="00D81661"/>
    <w:rsid w:val="00DA30FB"/>
    <w:rsid w:val="00DB22D0"/>
    <w:rsid w:val="00DB2331"/>
    <w:rsid w:val="00DB2836"/>
    <w:rsid w:val="00DB48DA"/>
    <w:rsid w:val="00DB4F2C"/>
    <w:rsid w:val="00DC6AA9"/>
    <w:rsid w:val="00DD630F"/>
    <w:rsid w:val="00DE1B52"/>
    <w:rsid w:val="00DF6674"/>
    <w:rsid w:val="00E0090A"/>
    <w:rsid w:val="00E10569"/>
    <w:rsid w:val="00E13F33"/>
    <w:rsid w:val="00E22DDB"/>
    <w:rsid w:val="00E23BF9"/>
    <w:rsid w:val="00E261F6"/>
    <w:rsid w:val="00E321E6"/>
    <w:rsid w:val="00E3257F"/>
    <w:rsid w:val="00E373B6"/>
    <w:rsid w:val="00E5362B"/>
    <w:rsid w:val="00E53F95"/>
    <w:rsid w:val="00E54BF6"/>
    <w:rsid w:val="00E61719"/>
    <w:rsid w:val="00E65D82"/>
    <w:rsid w:val="00E6625D"/>
    <w:rsid w:val="00E73C45"/>
    <w:rsid w:val="00E80301"/>
    <w:rsid w:val="00E87A04"/>
    <w:rsid w:val="00E965E6"/>
    <w:rsid w:val="00EA3267"/>
    <w:rsid w:val="00EA5645"/>
    <w:rsid w:val="00EA659D"/>
    <w:rsid w:val="00EB3070"/>
    <w:rsid w:val="00EB44DE"/>
    <w:rsid w:val="00EB7755"/>
    <w:rsid w:val="00ED76C4"/>
    <w:rsid w:val="00EE53D8"/>
    <w:rsid w:val="00EF09F1"/>
    <w:rsid w:val="00EF2BD9"/>
    <w:rsid w:val="00EF631D"/>
    <w:rsid w:val="00EF6940"/>
    <w:rsid w:val="00EF6D39"/>
    <w:rsid w:val="00EF7352"/>
    <w:rsid w:val="00F02AF3"/>
    <w:rsid w:val="00F121A5"/>
    <w:rsid w:val="00F122F5"/>
    <w:rsid w:val="00F14209"/>
    <w:rsid w:val="00F22A41"/>
    <w:rsid w:val="00F25EDB"/>
    <w:rsid w:val="00F31584"/>
    <w:rsid w:val="00F332AF"/>
    <w:rsid w:val="00F52458"/>
    <w:rsid w:val="00F53E45"/>
    <w:rsid w:val="00F575BE"/>
    <w:rsid w:val="00F63710"/>
    <w:rsid w:val="00F67D3A"/>
    <w:rsid w:val="00F71C6C"/>
    <w:rsid w:val="00F73A68"/>
    <w:rsid w:val="00F77214"/>
    <w:rsid w:val="00F7F409"/>
    <w:rsid w:val="00F92D9C"/>
    <w:rsid w:val="00FA1ED9"/>
    <w:rsid w:val="00FA3173"/>
    <w:rsid w:val="00FA7313"/>
    <w:rsid w:val="00FB6BCA"/>
    <w:rsid w:val="00FB7614"/>
    <w:rsid w:val="00FB7A85"/>
    <w:rsid w:val="00FD0C2C"/>
    <w:rsid w:val="00FD5A57"/>
    <w:rsid w:val="00FE0004"/>
    <w:rsid w:val="00FE2BDF"/>
    <w:rsid w:val="00FE7DF0"/>
    <w:rsid w:val="00FF2E7B"/>
    <w:rsid w:val="00FF3A07"/>
    <w:rsid w:val="00FF6B18"/>
    <w:rsid w:val="018C06CF"/>
    <w:rsid w:val="01CD31EA"/>
    <w:rsid w:val="02AD71F6"/>
    <w:rsid w:val="03185AB1"/>
    <w:rsid w:val="050A77F6"/>
    <w:rsid w:val="060018A6"/>
    <w:rsid w:val="069A2B23"/>
    <w:rsid w:val="0705F406"/>
    <w:rsid w:val="07598E50"/>
    <w:rsid w:val="0766CB50"/>
    <w:rsid w:val="081E01AE"/>
    <w:rsid w:val="089DA41B"/>
    <w:rsid w:val="0A03A54C"/>
    <w:rsid w:val="0A0E085C"/>
    <w:rsid w:val="0A59112C"/>
    <w:rsid w:val="0B305072"/>
    <w:rsid w:val="0C7F12A9"/>
    <w:rsid w:val="0C9C8FE4"/>
    <w:rsid w:val="0CD36CAB"/>
    <w:rsid w:val="0D302902"/>
    <w:rsid w:val="0D567C96"/>
    <w:rsid w:val="0DD34055"/>
    <w:rsid w:val="0EB5BCE2"/>
    <w:rsid w:val="0F04886A"/>
    <w:rsid w:val="0F88502C"/>
    <w:rsid w:val="0FD97FEC"/>
    <w:rsid w:val="105836A5"/>
    <w:rsid w:val="10EA49BB"/>
    <w:rsid w:val="11903DAA"/>
    <w:rsid w:val="11E0C65C"/>
    <w:rsid w:val="121C385A"/>
    <w:rsid w:val="12F5B233"/>
    <w:rsid w:val="13BDA09F"/>
    <w:rsid w:val="14A256EA"/>
    <w:rsid w:val="15730155"/>
    <w:rsid w:val="15854FD4"/>
    <w:rsid w:val="163B1768"/>
    <w:rsid w:val="16A5D1EB"/>
    <w:rsid w:val="170ED301"/>
    <w:rsid w:val="172840C6"/>
    <w:rsid w:val="1770208A"/>
    <w:rsid w:val="17E1C2B3"/>
    <w:rsid w:val="181C9A8C"/>
    <w:rsid w:val="18FBEA0B"/>
    <w:rsid w:val="1906B073"/>
    <w:rsid w:val="193D4C2A"/>
    <w:rsid w:val="196C1813"/>
    <w:rsid w:val="19FECB68"/>
    <w:rsid w:val="1A0A7CA0"/>
    <w:rsid w:val="1A2B9061"/>
    <w:rsid w:val="1A2DA902"/>
    <w:rsid w:val="1A64F6B9"/>
    <w:rsid w:val="1AA70698"/>
    <w:rsid w:val="1ABA4A26"/>
    <w:rsid w:val="1B025DB3"/>
    <w:rsid w:val="1B972B68"/>
    <w:rsid w:val="1BE39535"/>
    <w:rsid w:val="1C5D6FB9"/>
    <w:rsid w:val="1D487C4A"/>
    <w:rsid w:val="1D76F88D"/>
    <w:rsid w:val="1D7EC24A"/>
    <w:rsid w:val="1DA1F70B"/>
    <w:rsid w:val="1DA7DBE1"/>
    <w:rsid w:val="1E6AE924"/>
    <w:rsid w:val="1E866FA4"/>
    <w:rsid w:val="1F92A407"/>
    <w:rsid w:val="1FF4A591"/>
    <w:rsid w:val="20802A2D"/>
    <w:rsid w:val="20F1C959"/>
    <w:rsid w:val="213F4C5D"/>
    <w:rsid w:val="21A7C2DB"/>
    <w:rsid w:val="21ECF7D7"/>
    <w:rsid w:val="220D9309"/>
    <w:rsid w:val="221F23CF"/>
    <w:rsid w:val="22A2966F"/>
    <w:rsid w:val="236A7DD2"/>
    <w:rsid w:val="2421054E"/>
    <w:rsid w:val="24DACBF0"/>
    <w:rsid w:val="24F83E67"/>
    <w:rsid w:val="257516B2"/>
    <w:rsid w:val="25CD2580"/>
    <w:rsid w:val="265E1883"/>
    <w:rsid w:val="267756BC"/>
    <w:rsid w:val="2808CBD6"/>
    <w:rsid w:val="2855E158"/>
    <w:rsid w:val="28D8CD1E"/>
    <w:rsid w:val="292C558C"/>
    <w:rsid w:val="2A09EF89"/>
    <w:rsid w:val="2A70AD67"/>
    <w:rsid w:val="2AC74AA0"/>
    <w:rsid w:val="2B893D83"/>
    <w:rsid w:val="2D2426A5"/>
    <w:rsid w:val="2D7AA6A9"/>
    <w:rsid w:val="2DC0401E"/>
    <w:rsid w:val="2DFC7AD3"/>
    <w:rsid w:val="2E2DA5D0"/>
    <w:rsid w:val="2E4E4FED"/>
    <w:rsid w:val="2F15EF67"/>
    <w:rsid w:val="301AB757"/>
    <w:rsid w:val="30BC3AA4"/>
    <w:rsid w:val="30C7A0C7"/>
    <w:rsid w:val="30E3283A"/>
    <w:rsid w:val="317FC322"/>
    <w:rsid w:val="31AE3E87"/>
    <w:rsid w:val="31B1A9EA"/>
    <w:rsid w:val="340AC721"/>
    <w:rsid w:val="345A7164"/>
    <w:rsid w:val="347F9818"/>
    <w:rsid w:val="3502EBBF"/>
    <w:rsid w:val="35D5A15C"/>
    <w:rsid w:val="3659536A"/>
    <w:rsid w:val="3715C79A"/>
    <w:rsid w:val="3751325E"/>
    <w:rsid w:val="38332883"/>
    <w:rsid w:val="38527F1A"/>
    <w:rsid w:val="3877124E"/>
    <w:rsid w:val="38B59E27"/>
    <w:rsid w:val="390990E6"/>
    <w:rsid w:val="391B425C"/>
    <w:rsid w:val="39A1514B"/>
    <w:rsid w:val="39EE7FD2"/>
    <w:rsid w:val="3C3A6D83"/>
    <w:rsid w:val="3C57572B"/>
    <w:rsid w:val="3CB925DB"/>
    <w:rsid w:val="3D4AFA64"/>
    <w:rsid w:val="3D658155"/>
    <w:rsid w:val="3E481AB1"/>
    <w:rsid w:val="3EB1BA71"/>
    <w:rsid w:val="3F7FA39E"/>
    <w:rsid w:val="4046F46F"/>
    <w:rsid w:val="41363A7E"/>
    <w:rsid w:val="41D24AFE"/>
    <w:rsid w:val="420675B7"/>
    <w:rsid w:val="4254D75E"/>
    <w:rsid w:val="42574BE3"/>
    <w:rsid w:val="436DD318"/>
    <w:rsid w:val="4397F9BE"/>
    <w:rsid w:val="45D0DED4"/>
    <w:rsid w:val="467EF51D"/>
    <w:rsid w:val="46E4911C"/>
    <w:rsid w:val="46FD801E"/>
    <w:rsid w:val="475B880D"/>
    <w:rsid w:val="476AC937"/>
    <w:rsid w:val="478233E6"/>
    <w:rsid w:val="47DE17AD"/>
    <w:rsid w:val="49B24CBE"/>
    <w:rsid w:val="4A10B6F1"/>
    <w:rsid w:val="4A10BCF6"/>
    <w:rsid w:val="4A99BE19"/>
    <w:rsid w:val="4AE13D2A"/>
    <w:rsid w:val="4B618875"/>
    <w:rsid w:val="4D1E95DD"/>
    <w:rsid w:val="4D80D940"/>
    <w:rsid w:val="4DE8D630"/>
    <w:rsid w:val="4E1110D6"/>
    <w:rsid w:val="4E13E6F4"/>
    <w:rsid w:val="4F44105B"/>
    <w:rsid w:val="4F6EA77A"/>
    <w:rsid w:val="4F736EDC"/>
    <w:rsid w:val="4FA485AB"/>
    <w:rsid w:val="4FD6DCAE"/>
    <w:rsid w:val="4FF5624C"/>
    <w:rsid w:val="510715BF"/>
    <w:rsid w:val="51FB0D14"/>
    <w:rsid w:val="553EF1F0"/>
    <w:rsid w:val="5549ABF1"/>
    <w:rsid w:val="56363AEE"/>
    <w:rsid w:val="56B9DAFE"/>
    <w:rsid w:val="57C7E70B"/>
    <w:rsid w:val="59069797"/>
    <w:rsid w:val="59137C36"/>
    <w:rsid w:val="594DBD5E"/>
    <w:rsid w:val="594EF404"/>
    <w:rsid w:val="595CD508"/>
    <w:rsid w:val="599BBBB1"/>
    <w:rsid w:val="5B3321E0"/>
    <w:rsid w:val="5BFF75F7"/>
    <w:rsid w:val="5C99CE56"/>
    <w:rsid w:val="5CFCE060"/>
    <w:rsid w:val="5D02A54E"/>
    <w:rsid w:val="5D5584F3"/>
    <w:rsid w:val="5D8CCEAB"/>
    <w:rsid w:val="5DCB5F9F"/>
    <w:rsid w:val="5F1E7301"/>
    <w:rsid w:val="5F7A4B87"/>
    <w:rsid w:val="60137984"/>
    <w:rsid w:val="60198850"/>
    <w:rsid w:val="608CF49D"/>
    <w:rsid w:val="60F84EDF"/>
    <w:rsid w:val="61DAF2F8"/>
    <w:rsid w:val="6205E65E"/>
    <w:rsid w:val="623CBC06"/>
    <w:rsid w:val="62AAD13C"/>
    <w:rsid w:val="62E23CF3"/>
    <w:rsid w:val="62E503E4"/>
    <w:rsid w:val="62F9CCC8"/>
    <w:rsid w:val="632BE9B5"/>
    <w:rsid w:val="634098C8"/>
    <w:rsid w:val="63B4CD08"/>
    <w:rsid w:val="647A55C3"/>
    <w:rsid w:val="6633EF73"/>
    <w:rsid w:val="666A0FED"/>
    <w:rsid w:val="6682EF08"/>
    <w:rsid w:val="677F0655"/>
    <w:rsid w:val="67C6E1A2"/>
    <w:rsid w:val="683EDDDB"/>
    <w:rsid w:val="697C2FE2"/>
    <w:rsid w:val="698F9572"/>
    <w:rsid w:val="6A3CB234"/>
    <w:rsid w:val="6A5193B0"/>
    <w:rsid w:val="6A527A65"/>
    <w:rsid w:val="6A844FC2"/>
    <w:rsid w:val="6AF096CE"/>
    <w:rsid w:val="6B0D3FC1"/>
    <w:rsid w:val="6B103E36"/>
    <w:rsid w:val="6BE3A2EE"/>
    <w:rsid w:val="6CBC9CC7"/>
    <w:rsid w:val="6CD9A77D"/>
    <w:rsid w:val="6E100C2B"/>
    <w:rsid w:val="6EC894BC"/>
    <w:rsid w:val="6EF67998"/>
    <w:rsid w:val="6F31D01B"/>
    <w:rsid w:val="6F7257F0"/>
    <w:rsid w:val="6F92B9C9"/>
    <w:rsid w:val="70365B53"/>
    <w:rsid w:val="7088A70B"/>
    <w:rsid w:val="70F2E577"/>
    <w:rsid w:val="71FB77A3"/>
    <w:rsid w:val="72022E0A"/>
    <w:rsid w:val="721A4D54"/>
    <w:rsid w:val="7264028B"/>
    <w:rsid w:val="72C332F2"/>
    <w:rsid w:val="72EEE388"/>
    <w:rsid w:val="730FA3D4"/>
    <w:rsid w:val="732B68F2"/>
    <w:rsid w:val="740441F0"/>
    <w:rsid w:val="74935B2F"/>
    <w:rsid w:val="74BC460B"/>
    <w:rsid w:val="74D082F9"/>
    <w:rsid w:val="751119AB"/>
    <w:rsid w:val="759C025F"/>
    <w:rsid w:val="76115D61"/>
    <w:rsid w:val="769B1205"/>
    <w:rsid w:val="76B92BE2"/>
    <w:rsid w:val="76DF1684"/>
    <w:rsid w:val="76F55F86"/>
    <w:rsid w:val="775A1948"/>
    <w:rsid w:val="7863B920"/>
    <w:rsid w:val="7AA6AD60"/>
    <w:rsid w:val="7AD8E03F"/>
    <w:rsid w:val="7B1F9996"/>
    <w:rsid w:val="7C978B02"/>
    <w:rsid w:val="7D3FA595"/>
    <w:rsid w:val="7D4DE1E0"/>
    <w:rsid w:val="7D982EA0"/>
    <w:rsid w:val="7DBE4CE9"/>
    <w:rsid w:val="7DC32BFF"/>
    <w:rsid w:val="7DE3EC68"/>
    <w:rsid w:val="7EA4C00F"/>
    <w:rsid w:val="7EB60058"/>
    <w:rsid w:val="7FA09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82DD7D1"/>
  <w15:chartTrackingRefBased/>
  <w15:docId w15:val="{58135320-0E0D-4D34-98DD-42DC2CAFC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7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7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7F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7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7F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7F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7F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7F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7F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7F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47F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7F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7F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7F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7F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7F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7F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7F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7F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7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7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7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7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7F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7F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7F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7F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7F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7FCD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437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7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79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907"/>
    <w:rPr>
      <w:b/>
      <w:bCs/>
      <w:sz w:val="20"/>
      <w:szCs w:val="20"/>
    </w:rPr>
  </w:style>
  <w:style w:type="paragraph" w:customStyle="1" w:styleId="SIBodyText">
    <w:name w:val="SI Body Text"/>
    <w:basedOn w:val="Normal"/>
    <w:qFormat/>
    <w:rsid w:val="00021B1C"/>
    <w:pPr>
      <w:spacing w:after="120" w:line="276" w:lineRule="auto"/>
    </w:pPr>
    <w:rPr>
      <w:rFonts w:ascii="Avenir Next LT Pro" w:hAnsi="Avenir Next LT Pro"/>
      <w:color w:val="1E3531"/>
      <w:kern w:val="0"/>
      <w14:ligatures w14:val="none"/>
    </w:rPr>
  </w:style>
  <w:style w:type="paragraph" w:customStyle="1" w:styleId="SITableHeading1">
    <w:name w:val="SI Table Heading 1"/>
    <w:basedOn w:val="Normal"/>
    <w:qFormat/>
    <w:rsid w:val="00021B1C"/>
    <w:pPr>
      <w:spacing w:before="200" w:after="200" w:line="276" w:lineRule="auto"/>
    </w:pPr>
    <w:rPr>
      <w:rFonts w:ascii="Avenir Next LT Pro Demi" w:hAnsi="Avenir Next LT Pro Demi"/>
      <w:bCs/>
      <w:color w:val="4C7D2C"/>
      <w:kern w:val="0"/>
      <w14:ligatures w14:val="none"/>
    </w:rPr>
  </w:style>
  <w:style w:type="paragraph" w:customStyle="1" w:styleId="SITableHeading2">
    <w:name w:val="SI Table Heading 2"/>
    <w:basedOn w:val="Normal"/>
    <w:autoRedefine/>
    <w:qFormat/>
    <w:rsid w:val="00021B1C"/>
    <w:pPr>
      <w:spacing w:before="200" w:after="240" w:line="276" w:lineRule="auto"/>
      <w:ind w:left="57"/>
    </w:pPr>
    <w:rPr>
      <w:rFonts w:ascii="Avenir Next LT Pro" w:hAnsi="Avenir Next LT Pro" w:cs="Open Sans"/>
      <w:color w:val="4C7D2C"/>
      <w:kern w:val="0"/>
      <w:sz w:val="21"/>
      <w:szCs w:val="21"/>
      <w14:ligatures w14:val="none"/>
    </w:rPr>
  </w:style>
  <w:style w:type="paragraph" w:customStyle="1" w:styleId="SITableBody">
    <w:name w:val="SI Table Body"/>
    <w:basedOn w:val="Normal"/>
    <w:qFormat/>
    <w:rsid w:val="00021B1C"/>
    <w:pPr>
      <w:spacing w:before="200" w:after="240" w:line="276" w:lineRule="auto"/>
      <w:ind w:left="57"/>
    </w:pPr>
    <w:rPr>
      <w:rFonts w:ascii="Avenir Next LT Pro" w:hAnsi="Avenir Next LT Pro"/>
      <w:color w:val="1E3531"/>
      <w:kern w:val="0"/>
      <w:sz w:val="21"/>
      <w:szCs w:val="21"/>
      <w14:ligatures w14:val="none"/>
    </w:rPr>
  </w:style>
  <w:style w:type="paragraph" w:customStyle="1" w:styleId="SIDotpoints">
    <w:name w:val="SI Dot points"/>
    <w:basedOn w:val="SIBodyText"/>
    <w:qFormat/>
    <w:rsid w:val="00021B1C"/>
    <w:pPr>
      <w:ind w:left="720" w:hanging="360"/>
    </w:pPr>
  </w:style>
  <w:style w:type="paragraph" w:customStyle="1" w:styleId="SISecondaryDotPoint">
    <w:name w:val="SI Secondary Dot Point"/>
    <w:basedOn w:val="SIDotpoints"/>
    <w:qFormat/>
    <w:rsid w:val="00021B1C"/>
    <w:pPr>
      <w:numPr>
        <w:ilvl w:val="1"/>
      </w:numPr>
      <w:ind w:left="720" w:hanging="360"/>
    </w:pPr>
  </w:style>
  <w:style w:type="character" w:styleId="Strong">
    <w:name w:val="Strong"/>
    <w:basedOn w:val="DefaultParagraphFont"/>
    <w:uiPriority w:val="22"/>
    <w:qFormat/>
    <w:rsid w:val="00021B1C"/>
    <w:rPr>
      <w:b/>
      <w:bCs/>
    </w:rPr>
  </w:style>
  <w:style w:type="table" w:styleId="PlainTable2">
    <w:name w:val="Plain Table 2"/>
    <w:basedOn w:val="TableNormal"/>
    <w:uiPriority w:val="42"/>
    <w:rsid w:val="00021B1C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unhideWhenUsed/>
    <w:rsid w:val="0067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AU"/>
      <w14:ligatures w14:val="none"/>
    </w:rPr>
  </w:style>
  <w:style w:type="character" w:styleId="Mention">
    <w:name w:val="Mention"/>
    <w:basedOn w:val="DefaultParagraphFont"/>
    <w:uiPriority w:val="99"/>
    <w:unhideWhenUsed/>
    <w:rsid w:val="006B0FC5"/>
    <w:rPr>
      <w:color w:val="2B579A"/>
      <w:shd w:val="clear" w:color="auto" w:fill="E1DFDD"/>
    </w:rPr>
  </w:style>
  <w:style w:type="paragraph" w:styleId="ListBullet">
    <w:name w:val="List Bullet"/>
    <w:basedOn w:val="Normal"/>
    <w:uiPriority w:val="99"/>
    <w:unhideWhenUsed/>
    <w:rsid w:val="00024122"/>
    <w:pPr>
      <w:numPr>
        <w:numId w:val="37"/>
      </w:numPr>
      <w:tabs>
        <w:tab w:val="clear" w:pos="360"/>
      </w:tabs>
      <w:spacing w:after="200" w:line="276" w:lineRule="auto"/>
      <w:contextualSpacing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Revision">
    <w:name w:val="Revision"/>
    <w:hidden/>
    <w:uiPriority w:val="99"/>
    <w:semiHidden/>
    <w:rsid w:val="00BB094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B3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510"/>
  </w:style>
  <w:style w:type="paragraph" w:styleId="Footer">
    <w:name w:val="footer"/>
    <w:basedOn w:val="Normal"/>
    <w:link w:val="FooterChar"/>
    <w:uiPriority w:val="99"/>
    <w:unhideWhenUsed/>
    <w:rsid w:val="009B35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E9237B66A1C47B5CB4B0963D4919E" ma:contentTypeVersion="0" ma:contentTypeDescription="Create a new document." ma:contentTypeScope="" ma:versionID="7c4b3ec317c385911e27f921128311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76ef529c39306168521fdb1fa67254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5B4386-F92A-45F2-ABAE-9BF3C5592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F09D7C-CED8-484F-90C5-4857E4A7F467}"/>
</file>

<file path=customXml/itemProps3.xml><?xml version="1.0" encoding="utf-8"?>
<ds:datastoreItem xmlns:ds="http://schemas.openxmlformats.org/officeDocument/2006/customXml" ds:itemID="{B95BADC2-EFC5-4CA1-A262-C065A4E83E4E}">
  <ds:schemaRefs>
    <ds:schemaRef ds:uri="50b7c410-dce9-463b-81f8-73e20a9d115d"/>
    <ds:schemaRef ds:uri="http://purl.org/dc/elements/1.1/"/>
    <ds:schemaRef ds:uri="b7c30f79-f8eb-4508-8095-4c6bdcbc98c6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www.w3.org/XML/1998/namespace"/>
    <ds:schemaRef ds:uri="102dc1fd-8f52-48da-b764-5a9278f0784a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7da3aec3-b75a-40c5-bbde-bb9482fd781a}" enabled="1" method="Privileged" siteId="{95ff684b-4ed3-4b7d-8e2d-6028cb933a80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1530</Words>
  <Characters>9467</Characters>
  <Application>Microsoft Office Word</Application>
  <DocSecurity>0</DocSecurity>
  <Lines>243</Lines>
  <Paragraphs>147</Paragraphs>
  <ScaleCrop>false</ScaleCrop>
  <Company/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 Cole</dc:creator>
  <cp:keywords/>
  <dc:description/>
  <cp:lastModifiedBy>Louise Bull</cp:lastModifiedBy>
  <cp:revision>125</cp:revision>
  <dcterms:created xsi:type="dcterms:W3CDTF">2025-10-22T14:00:00Z</dcterms:created>
  <dcterms:modified xsi:type="dcterms:W3CDTF">2025-11-05T01:07:00Z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0x010100A3CE9237B66A1C47B5CB4B0963D4919E</vt:lpwstr>
  </property>
  <property fmtid="{D5CDD505-2E9C-101B-9397-08002B2CF9AE}" pid="3" name="MediaServiceImageTags">
    <vt:lpwstr/>
  </property>
</Properties>
</file>